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6B72F5">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Thursday, febr</w:t>
      </w:r>
      <w:r w:rsidR="00D466AC" w:rsidRPr="005625B0">
        <w:rPr>
          <w:rFonts w:ascii="Calibri" w:hAnsi="Calibri" w:cs="Arial"/>
          <w:b/>
          <w:bCs/>
          <w:caps/>
          <w:spacing w:val="-3"/>
          <w:sz w:val="24"/>
          <w:szCs w:val="24"/>
        </w:rPr>
        <w:t>uary 2</w:t>
      </w:r>
      <w:r w:rsidRPr="006B72F5">
        <w:rPr>
          <w:rFonts w:ascii="Calibri" w:hAnsi="Calibri" w:cs="Arial"/>
          <w:b/>
          <w:bCs/>
          <w:caps/>
          <w:spacing w:val="-3"/>
          <w:sz w:val="24"/>
          <w:szCs w:val="24"/>
          <w:vertAlign w:val="superscript"/>
        </w:rPr>
        <w:t>nd</w:t>
      </w:r>
      <w:r>
        <w:rPr>
          <w:rFonts w:ascii="Calibri" w:hAnsi="Calibri" w:cs="Arial"/>
          <w:b/>
          <w:bCs/>
          <w:caps/>
          <w:spacing w:val="-3"/>
          <w:sz w:val="24"/>
          <w:szCs w:val="24"/>
        </w:rPr>
        <w:t>, 2017</w:t>
      </w:r>
    </w:p>
    <w:p w:rsidR="009B21A3" w:rsidRPr="005625B0" w:rsidRDefault="004F2C86" w:rsidP="004F2C86">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2</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3</w:t>
      </w:r>
      <w:r w:rsidR="006B72F5">
        <w:rPr>
          <w:rFonts w:ascii="Calibri" w:hAnsi="Calibri" w:cs="Arial"/>
          <w:i/>
          <w:iCs/>
          <w:spacing w:val="-3"/>
          <w:sz w:val="21"/>
          <w:szCs w:val="21"/>
        </w:rPr>
        <w:t>:</w:t>
      </w:r>
      <w:r>
        <w:rPr>
          <w:rFonts w:ascii="Calibri" w:hAnsi="Calibri" w:cs="Arial"/>
          <w:i/>
          <w:iCs/>
          <w:spacing w:val="-3"/>
          <w:sz w:val="21"/>
          <w:szCs w:val="21"/>
        </w:rPr>
        <w:t>15</w:t>
      </w:r>
      <w:r w:rsidR="009B21A3" w:rsidRPr="005625B0">
        <w:rPr>
          <w:rFonts w:ascii="Calibri" w:hAnsi="Calibri" w:cs="Arial"/>
          <w:i/>
          <w:iCs/>
          <w:spacing w:val="-3"/>
          <w:sz w:val="21"/>
          <w:szCs w:val="21"/>
        </w:rPr>
        <w:t xml:space="preserve"> pm </w:t>
      </w:r>
      <w:r w:rsidR="005625B0" w:rsidRPr="005625B0">
        <w:rPr>
          <w:rFonts w:ascii="Calibri" w:hAnsi="Calibri" w:cs="Arial"/>
          <w:i/>
          <w:iCs/>
          <w:spacing w:val="-3"/>
          <w:sz w:val="21"/>
          <w:szCs w:val="21"/>
        </w:rPr>
        <w:t>TBC</w:t>
      </w:r>
      <w:r w:rsidR="009B21A3" w:rsidRPr="005625B0">
        <w:rPr>
          <w:rFonts w:ascii="Calibri" w:hAnsi="Calibri" w:cs="Arial"/>
          <w:i/>
          <w:iCs/>
          <w:spacing w:val="-3"/>
          <w:sz w:val="21"/>
          <w:szCs w:val="21"/>
        </w:rPr>
        <w:t xml:space="preserve"> (registration opens at </w:t>
      </w:r>
      <w:r>
        <w:rPr>
          <w:rFonts w:ascii="Calibri" w:hAnsi="Calibri" w:cs="Arial"/>
          <w:i/>
          <w:iCs/>
          <w:spacing w:val="-3"/>
          <w:sz w:val="21"/>
          <w:szCs w:val="21"/>
        </w:rPr>
        <w:t>1:3</w:t>
      </w:r>
      <w:r w:rsidR="009B21A3" w:rsidRPr="005625B0">
        <w:rPr>
          <w:rFonts w:ascii="Calibri" w:hAnsi="Calibri" w:cs="Arial"/>
          <w:i/>
          <w:iCs/>
          <w:spacing w:val="-3"/>
          <w:sz w:val="21"/>
          <w:szCs w:val="21"/>
        </w:rPr>
        <w:t>0 pm)</w:t>
      </w:r>
    </w:p>
    <w:p w:rsidR="006764B2" w:rsidRPr="005625B0" w:rsidRDefault="009B21A3" w:rsidP="004F2C8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 xml:space="preserve">Metro Toronto Convention Centre – Room </w:t>
      </w:r>
      <w:r w:rsidR="004F2C86" w:rsidRPr="004F2C86">
        <w:rPr>
          <w:rFonts w:ascii="Calibri" w:hAnsi="Calibri" w:cs="Calibri"/>
          <w:b/>
          <w:bCs/>
          <w:color w:val="000000"/>
          <w:sz w:val="21"/>
          <w:szCs w:val="21"/>
          <w:shd w:val="clear" w:color="auto" w:fill="FFFFFF"/>
        </w:rPr>
        <w:t>MTCC 202D</w:t>
      </w: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4F2C86">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D466AC" w:rsidRPr="005625B0">
        <w:rPr>
          <w:rFonts w:ascii="Calibri" w:hAnsi="Calibri" w:cstheme="minorHAnsi"/>
          <w:b/>
          <w:bCs/>
          <w:caps/>
          <w:sz w:val="21"/>
          <w:szCs w:val="21"/>
        </w:rPr>
        <w:t>M. Singleton</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Pr="005625B0" w:rsidRDefault="009B21A3" w:rsidP="005625B0">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D466AC" w:rsidRPr="005625B0">
        <w:rPr>
          <w:rFonts w:ascii="Calibri" w:hAnsi="Calibri" w:cstheme="minorHAnsi"/>
          <w:b/>
          <w:bCs/>
          <w:caps/>
          <w:sz w:val="21"/>
          <w:szCs w:val="21"/>
        </w:rPr>
        <w:t>M. SINGLETON</w:t>
      </w:r>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5625B0">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5625B0">
        <w:rPr>
          <w:rFonts w:ascii="Calibri" w:hAnsi="Calibri" w:cstheme="minorHAnsi"/>
          <w:b/>
          <w:bCs/>
          <w:caps/>
          <w:spacing w:val="-2"/>
          <w:sz w:val="21"/>
          <w:szCs w:val="21"/>
        </w:rPr>
        <w:tab/>
      </w:r>
      <w:r w:rsidR="00D466AC" w:rsidRPr="005625B0">
        <w:rPr>
          <w:rFonts w:ascii="Calibri" w:hAnsi="Calibri" w:cstheme="minorHAnsi"/>
          <w:b/>
          <w:bCs/>
          <w:caps/>
          <w:spacing w:val="-2"/>
          <w:sz w:val="21"/>
          <w:szCs w:val="21"/>
        </w:rPr>
        <w:t>M. SINGLETON</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2</w:t>
      </w:r>
      <w:r w:rsidR="006B72F5" w:rsidRPr="006B72F5">
        <w:rPr>
          <w:rFonts w:ascii="Calibri" w:hAnsi="Calibri" w:cstheme="minorHAnsi"/>
          <w:i/>
          <w:iCs/>
          <w:spacing w:val="-2"/>
          <w:sz w:val="21"/>
          <w:szCs w:val="21"/>
          <w:vertAlign w:val="superscript"/>
        </w:rPr>
        <w:t>nd</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6B72F5">
        <w:rPr>
          <w:rFonts w:ascii="Calibri" w:hAnsi="Calibri" w:cstheme="minorHAnsi"/>
          <w:i/>
          <w:iCs/>
          <w:spacing w:val="-2"/>
          <w:sz w:val="21"/>
          <w:szCs w:val="21"/>
        </w:rPr>
        <w:t>7</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6B72F5">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AGM minutes – January 2</w:t>
      </w:r>
      <w:r w:rsidR="006B72F5">
        <w:rPr>
          <w:rFonts w:ascii="Calibri" w:hAnsi="Calibri" w:cstheme="minorHAnsi"/>
          <w:b/>
          <w:bCs/>
          <w:caps/>
          <w:spacing w:val="-2"/>
          <w:sz w:val="21"/>
          <w:szCs w:val="21"/>
        </w:rPr>
        <w:t>7</w:t>
      </w:r>
      <w:r w:rsidR="00A60F17" w:rsidRPr="006F794E">
        <w:rPr>
          <w:rFonts w:ascii="Calibri" w:hAnsi="Calibri" w:cstheme="minorHAnsi"/>
          <w:b/>
          <w:bCs/>
          <w:caps/>
          <w:spacing w:val="-2"/>
          <w:sz w:val="21"/>
          <w:szCs w:val="21"/>
        </w:rPr>
        <w:t>th</w:t>
      </w:r>
      <w:r w:rsidR="00D466AC" w:rsidRPr="006F794E">
        <w:rPr>
          <w:rFonts w:ascii="Calibri" w:hAnsi="Calibri" w:cstheme="minorHAnsi"/>
          <w:b/>
          <w:bCs/>
          <w:caps/>
          <w:spacing w:val="-2"/>
          <w:sz w:val="21"/>
          <w:szCs w:val="21"/>
        </w:rPr>
        <w:t xml:space="preserve"> 201</w:t>
      </w:r>
      <w:r w:rsidR="006B72F5">
        <w:rPr>
          <w:rFonts w:ascii="Calibri" w:hAnsi="Calibri" w:cstheme="minorHAnsi"/>
          <w:b/>
          <w:bCs/>
          <w:caps/>
          <w:spacing w:val="-2"/>
          <w:sz w:val="21"/>
          <w:szCs w:val="21"/>
        </w:rPr>
        <w:t>6</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D466AC" w:rsidRPr="00D466AC">
        <w:rPr>
          <w:rFonts w:ascii="Calibri" w:hAnsi="Calibri" w:cstheme="minorHAnsi"/>
          <w:b/>
          <w:bCs/>
          <w:sz w:val="21"/>
          <w:szCs w:val="21"/>
        </w:rPr>
        <w:t>M. SINGLETON</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e FOPL AGM minutes of January 2</w:t>
      </w:r>
      <w:r w:rsidR="006B72F5">
        <w:rPr>
          <w:rFonts w:ascii="Calibri" w:hAnsi="Calibri" w:cstheme="minorHAnsi"/>
          <w:i/>
          <w:iCs/>
          <w:sz w:val="21"/>
          <w:szCs w:val="21"/>
        </w:rPr>
        <w:t>7</w:t>
      </w:r>
      <w:r w:rsidRPr="00D466AC">
        <w:rPr>
          <w:rFonts w:ascii="Calibri" w:hAnsi="Calibri" w:cstheme="minorHAnsi"/>
          <w:i/>
          <w:iCs/>
          <w:sz w:val="21"/>
          <w:szCs w:val="21"/>
        </w:rPr>
        <w:t>th</w:t>
      </w:r>
      <w:r w:rsidR="00D466AC" w:rsidRPr="00D466AC">
        <w:rPr>
          <w:rFonts w:ascii="Calibri" w:hAnsi="Calibri" w:cstheme="minorHAnsi"/>
          <w:i/>
          <w:iCs/>
          <w:sz w:val="21"/>
          <w:szCs w:val="21"/>
        </w:rPr>
        <w:t xml:space="preserve"> 201</w:t>
      </w:r>
      <w:r w:rsidR="006B72F5">
        <w:rPr>
          <w:rFonts w:ascii="Calibri" w:hAnsi="Calibri" w:cstheme="minorHAnsi"/>
          <w:i/>
          <w:iCs/>
          <w:sz w:val="21"/>
          <w:szCs w:val="21"/>
        </w:rPr>
        <w:t>6</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4F2C86">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 Report*</w:t>
      </w:r>
      <w:r w:rsidRP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t xml:space="preserve"> </w:t>
      </w:r>
      <w:r w:rsidR="00D466AC" w:rsidRPr="006F794E">
        <w:rPr>
          <w:rFonts w:ascii="Calibri" w:hAnsi="Calibri" w:cstheme="minorHAnsi"/>
          <w:b/>
          <w:bCs/>
          <w:caps/>
          <w:sz w:val="21"/>
          <w:szCs w:val="21"/>
        </w:rPr>
        <w:t>M. SINGLETON</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C17457">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C17457">
        <w:rPr>
          <w:rFonts w:ascii="Calibri" w:hAnsi="Calibri" w:cstheme="minorHAnsi"/>
          <w:i/>
          <w:iCs/>
          <w:sz w:val="21"/>
          <w:szCs w:val="21"/>
        </w:rPr>
        <w:t>6</w:t>
      </w:r>
      <w:r w:rsidR="00A60F17" w:rsidRPr="00D466AC">
        <w:rPr>
          <w:rFonts w:ascii="Calibri" w:hAnsi="Calibri" w:cstheme="minorHAnsi"/>
          <w:i/>
          <w:iCs/>
          <w:sz w:val="21"/>
          <w:szCs w:val="21"/>
        </w:rPr>
        <w:t xml:space="preserve"> chair be received </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 Report*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A60F17">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 xml:space="preserve">2016 </w:t>
      </w:r>
      <w:r w:rsidRPr="00D466AC">
        <w:rPr>
          <w:rFonts w:ascii="Calibri" w:hAnsi="Calibri" w:cstheme="minorHAnsi"/>
          <w:i/>
          <w:iCs/>
          <w:sz w:val="21"/>
          <w:szCs w:val="21"/>
        </w:rPr>
        <w:t xml:space="preserve">report of the FOPL 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4F2C86">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871F7F">
        <w:rPr>
          <w:rFonts w:ascii="Calibri" w:hAnsi="Calibri" w:cstheme="minorHAnsi"/>
          <w:b/>
          <w:bCs/>
          <w:caps/>
          <w:sz w:val="21"/>
          <w:szCs w:val="21"/>
        </w:rPr>
        <w:t>P</w:t>
      </w:r>
      <w:r w:rsidR="00A60F17" w:rsidRPr="006F794E">
        <w:rPr>
          <w:rFonts w:ascii="Calibri" w:hAnsi="Calibri" w:cstheme="minorHAnsi"/>
          <w:b/>
          <w:bCs/>
          <w:caps/>
          <w:sz w:val="21"/>
          <w:szCs w:val="21"/>
        </w:rPr>
        <w:t xml:space="preserve">. </w:t>
      </w:r>
      <w:r w:rsidR="00871F7F">
        <w:rPr>
          <w:rFonts w:ascii="Calibri" w:hAnsi="Calibri" w:cstheme="minorHAnsi"/>
          <w:b/>
          <w:bCs/>
          <w:caps/>
          <w:sz w:val="21"/>
          <w:szCs w:val="21"/>
        </w:rPr>
        <w:t>Ryan</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Audited Financial Statements and auditor’s report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6B72F5">
        <w:rPr>
          <w:rFonts w:ascii="Calibri" w:hAnsi="Calibri" w:cstheme="minorHAnsi"/>
          <w:i/>
          <w:iCs/>
          <w:sz w:val="21"/>
          <w:szCs w:val="21"/>
        </w:rPr>
        <w:t>6</w:t>
      </w:r>
      <w:r w:rsidRPr="00D466AC">
        <w:rPr>
          <w:rFonts w:ascii="Calibri" w:hAnsi="Calibri" w:cstheme="minorHAnsi"/>
          <w:i/>
          <w:iCs/>
          <w:sz w:val="21"/>
          <w:szCs w:val="21"/>
        </w:rPr>
        <w:t xml:space="preserve"> be received as circulated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6B72F5">
        <w:rPr>
          <w:rFonts w:ascii="Calibri" w:hAnsi="Calibri" w:cstheme="minorHAnsi"/>
          <w:i/>
          <w:iCs/>
          <w:sz w:val="21"/>
          <w:szCs w:val="21"/>
        </w:rPr>
        <w:t>Geoff Crewe</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31, 2017</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6B72F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201</w:t>
      </w:r>
      <w:r w:rsidR="006B72F5">
        <w:rPr>
          <w:rFonts w:ascii="Calibri" w:hAnsi="Calibri" w:cstheme="minorHAnsi"/>
          <w:i/>
          <w:iCs/>
          <w:sz w:val="21"/>
          <w:szCs w:val="21"/>
        </w:rPr>
        <w:t>6-2017</w:t>
      </w:r>
      <w:r w:rsidRPr="00D466AC">
        <w:rPr>
          <w:rFonts w:ascii="Calibri" w:hAnsi="Calibri" w:cstheme="minorHAnsi"/>
          <w:i/>
          <w:iCs/>
          <w:sz w:val="21"/>
          <w:szCs w:val="21"/>
        </w:rPr>
        <w:t xml:space="preserve"> be received as circulated</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D466A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officers                                    </w:t>
      </w:r>
      <w:r w:rsidR="006B72F5">
        <w:rPr>
          <w:rFonts w:ascii="Calibri" w:hAnsi="Calibri" w:cstheme="minorHAnsi"/>
          <w:b/>
          <w:bCs/>
          <w:caps/>
          <w:sz w:val="21"/>
          <w:szCs w:val="21"/>
        </w:rPr>
        <w:t xml:space="preserve">             </w:t>
      </w:r>
      <w:r w:rsidR="00D466AC" w:rsidRPr="006F794E">
        <w:rPr>
          <w:rFonts w:ascii="Calibri" w:hAnsi="Calibri" w:cstheme="minorHAnsi"/>
          <w:b/>
          <w:bCs/>
          <w:caps/>
          <w:sz w:val="21"/>
          <w:szCs w:val="21"/>
        </w:rPr>
        <w:t>M. SINGLETOn</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C17457" w:rsidRDefault="00C17457" w:rsidP="00181425">
      <w:pPr>
        <w:pStyle w:val="BodyText"/>
        <w:tabs>
          <w:tab w:val="left" w:pos="2662"/>
        </w:tabs>
        <w:spacing w:before="254"/>
        <w:contextualSpacing/>
        <w:rPr>
          <w:rFonts w:ascii="Calibri" w:hAnsi="Calibri" w:cstheme="minorHAnsi"/>
          <w:sz w:val="21"/>
          <w:szCs w:val="21"/>
        </w:rPr>
      </w:pP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181425">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lastRenderedPageBreak/>
        <w:t>Reports of Task For</w:t>
      </w:r>
      <w:r w:rsidR="00181425" w:rsidRPr="006F794E">
        <w:rPr>
          <w:rFonts w:ascii="Calibri" w:hAnsi="Calibri" w:cstheme="minorHAnsi"/>
          <w:b/>
          <w:bCs/>
          <w:caps/>
          <w:sz w:val="21"/>
          <w:szCs w:val="21"/>
        </w:rPr>
        <w:t>ces and special Committees:</w:t>
      </w:r>
    </w:p>
    <w:p w:rsidR="00181425" w:rsidRPr="005625B0" w:rsidRDefault="006F794E"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Advocacy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t>J</w:t>
      </w:r>
      <w:r w:rsidR="00181425" w:rsidRPr="005625B0">
        <w:rPr>
          <w:rFonts w:ascii="Calibri" w:hAnsi="Calibri" w:cstheme="minorHAnsi"/>
          <w:smallCaps/>
          <w:sz w:val="21"/>
          <w:szCs w:val="21"/>
        </w:rPr>
        <w:t>. Nicolson</w:t>
      </w:r>
    </w:p>
    <w:p w:rsidR="00181425" w:rsidRPr="005625B0" w:rsidRDefault="00181425"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Marketing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006F794E" w:rsidRPr="005625B0">
        <w:rPr>
          <w:rFonts w:ascii="Calibri" w:hAnsi="Calibri" w:cstheme="minorHAnsi"/>
          <w:smallCaps/>
          <w:sz w:val="21"/>
          <w:szCs w:val="21"/>
        </w:rPr>
        <w:tab/>
      </w:r>
      <w:r w:rsidRPr="005625B0">
        <w:rPr>
          <w:rFonts w:ascii="Calibri" w:hAnsi="Calibri" w:cstheme="minorHAnsi"/>
          <w:smallCaps/>
          <w:sz w:val="21"/>
          <w:szCs w:val="21"/>
        </w:rPr>
        <w:t>C. Grant</w:t>
      </w:r>
    </w:p>
    <w:p w:rsidR="00181425" w:rsidRPr="005625B0" w:rsidRDefault="006F794E"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Research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t>R</w:t>
      </w:r>
      <w:r w:rsidR="00181425" w:rsidRPr="005625B0">
        <w:rPr>
          <w:rFonts w:ascii="Calibri" w:hAnsi="Calibri" w:cstheme="minorHAnsi"/>
          <w:smallCaps/>
          <w:sz w:val="21"/>
          <w:szCs w:val="21"/>
        </w:rPr>
        <w:t>. Jessup</w:t>
      </w:r>
    </w:p>
    <w:p w:rsidR="00181425" w:rsidRDefault="00181425" w:rsidP="008E2B5C">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Chief Executives of Large Urban Public Libraries</w:t>
      </w:r>
      <w:r w:rsidRPr="005625B0">
        <w:rPr>
          <w:rFonts w:ascii="Calibri" w:hAnsi="Calibri" w:cstheme="minorHAnsi"/>
          <w:smallCaps/>
          <w:sz w:val="21"/>
          <w:szCs w:val="21"/>
        </w:rPr>
        <w:tab/>
      </w:r>
      <w:r w:rsidRPr="005625B0">
        <w:rPr>
          <w:rFonts w:ascii="Calibri" w:hAnsi="Calibri" w:cstheme="minorHAnsi"/>
          <w:smallCaps/>
          <w:sz w:val="21"/>
          <w:szCs w:val="21"/>
        </w:rPr>
        <w:tab/>
      </w:r>
      <w:r w:rsidR="006F794E" w:rsidRPr="005625B0">
        <w:rPr>
          <w:rFonts w:ascii="Calibri" w:hAnsi="Calibri" w:cstheme="minorHAnsi"/>
          <w:smallCaps/>
          <w:sz w:val="21"/>
          <w:szCs w:val="21"/>
        </w:rPr>
        <w:tab/>
      </w:r>
      <w:r w:rsidR="008E2B5C">
        <w:rPr>
          <w:rFonts w:ascii="Calibri" w:hAnsi="Calibri" w:cstheme="minorHAnsi"/>
          <w:smallCaps/>
          <w:sz w:val="21"/>
          <w:szCs w:val="21"/>
        </w:rPr>
        <w:t>L</w:t>
      </w:r>
      <w:r w:rsidRPr="005625B0">
        <w:rPr>
          <w:rFonts w:ascii="Calibri" w:hAnsi="Calibri" w:cstheme="minorHAnsi"/>
          <w:smallCaps/>
          <w:sz w:val="21"/>
          <w:szCs w:val="21"/>
        </w:rPr>
        <w:t xml:space="preserve">. </w:t>
      </w:r>
      <w:r w:rsidR="008E2B5C">
        <w:rPr>
          <w:rFonts w:ascii="Calibri" w:hAnsi="Calibri" w:cstheme="minorHAnsi"/>
          <w:smallCaps/>
          <w:sz w:val="21"/>
          <w:szCs w:val="21"/>
        </w:rPr>
        <w:t>Fitch</w:t>
      </w:r>
    </w:p>
    <w:p w:rsidR="0099324F" w:rsidRDefault="0099324F" w:rsidP="0099324F">
      <w:pPr>
        <w:pStyle w:val="BodyText"/>
        <w:tabs>
          <w:tab w:val="left" w:pos="2662"/>
        </w:tabs>
        <w:spacing w:before="254"/>
        <w:contextualSpacing/>
        <w:rPr>
          <w:rFonts w:ascii="Calibri" w:hAnsi="Calibri" w:cstheme="minorHAnsi"/>
          <w:smallCaps/>
          <w:sz w:val="21"/>
          <w:szCs w:val="21"/>
        </w:rPr>
      </w:pPr>
      <w:r>
        <w:rPr>
          <w:rFonts w:ascii="Calibri" w:hAnsi="Calibri" w:cstheme="minorHAnsi"/>
          <w:smallCaps/>
          <w:sz w:val="21"/>
          <w:szCs w:val="21"/>
        </w:rPr>
        <w:t xml:space="preserve"> </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99324F">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Reports of Task Forces and Special Committees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8C0BB4" w:rsidRPr="008C0BB4" w:rsidRDefault="008C0BB4" w:rsidP="00680BB6">
      <w:pPr>
        <w:pStyle w:val="BodyText"/>
        <w:numPr>
          <w:ilvl w:val="0"/>
          <w:numId w:val="7"/>
        </w:numPr>
        <w:tabs>
          <w:tab w:val="left" w:pos="2662"/>
        </w:tabs>
        <w:spacing w:before="254"/>
        <w:contextualSpacing/>
        <w:rPr>
          <w:rFonts w:ascii="Calibri" w:hAnsi="Calibri" w:cstheme="minorHAnsi"/>
          <w:b/>
          <w:bCs/>
          <w:caps/>
          <w:sz w:val="21"/>
          <w:szCs w:val="21"/>
        </w:rPr>
      </w:pPr>
      <w:r w:rsidRPr="008C0BB4">
        <w:rPr>
          <w:rFonts w:ascii="Calibri" w:hAnsi="Calibri" w:cstheme="minorHAnsi"/>
          <w:b/>
          <w:bCs/>
          <w:caps/>
          <w:sz w:val="21"/>
          <w:szCs w:val="21"/>
        </w:rPr>
        <w:t>Strateg</w:t>
      </w:r>
      <w:r w:rsidR="008E2B5C">
        <w:rPr>
          <w:rFonts w:ascii="Calibri" w:hAnsi="Calibri" w:cstheme="minorHAnsi"/>
          <w:b/>
          <w:bCs/>
          <w:caps/>
          <w:sz w:val="21"/>
          <w:szCs w:val="21"/>
        </w:rPr>
        <w:t xml:space="preserve">ic Plan – FOPL Membership </w:t>
      </w:r>
      <w:r w:rsidR="008E2B5C">
        <w:rPr>
          <w:rFonts w:ascii="Calibri" w:hAnsi="Calibri" w:cstheme="minorHAnsi"/>
          <w:b/>
          <w:bCs/>
          <w:caps/>
          <w:sz w:val="21"/>
          <w:szCs w:val="21"/>
        </w:rPr>
        <w:tab/>
      </w:r>
      <w:r w:rsidR="008E2B5C">
        <w:rPr>
          <w:rFonts w:ascii="Calibri" w:hAnsi="Calibri" w:cstheme="minorHAnsi"/>
          <w:b/>
          <w:bCs/>
          <w:caps/>
          <w:sz w:val="21"/>
          <w:szCs w:val="21"/>
        </w:rPr>
        <w:tab/>
      </w:r>
      <w:r w:rsidR="008E2B5C">
        <w:rPr>
          <w:rFonts w:ascii="Calibri" w:hAnsi="Calibri" w:cstheme="minorHAnsi"/>
          <w:b/>
          <w:bCs/>
          <w:caps/>
          <w:sz w:val="21"/>
          <w:szCs w:val="21"/>
        </w:rPr>
        <w:tab/>
      </w:r>
      <w:r w:rsidR="008E2B5C">
        <w:rPr>
          <w:rFonts w:ascii="Calibri" w:hAnsi="Calibri" w:cstheme="minorHAnsi"/>
          <w:b/>
          <w:bCs/>
          <w:caps/>
          <w:sz w:val="21"/>
          <w:szCs w:val="21"/>
        </w:rPr>
        <w:tab/>
      </w:r>
      <w:r w:rsidR="00680BB6">
        <w:rPr>
          <w:rFonts w:ascii="Calibri" w:hAnsi="Calibri" w:cstheme="minorHAnsi"/>
          <w:b/>
          <w:bCs/>
          <w:caps/>
          <w:sz w:val="21"/>
          <w:szCs w:val="21"/>
        </w:rPr>
        <w:tab/>
        <w:t xml:space="preserve">       </w:t>
      </w:r>
      <w:r w:rsidR="008E2B5C" w:rsidRPr="006F794E">
        <w:rPr>
          <w:rFonts w:ascii="Calibri" w:hAnsi="Calibri" w:cstheme="minorHAnsi"/>
          <w:b/>
          <w:bCs/>
          <w:caps/>
          <w:sz w:val="21"/>
          <w:szCs w:val="21"/>
        </w:rPr>
        <w:t>M. SINGLETON</w:t>
      </w:r>
    </w:p>
    <w:p w:rsidR="00181425" w:rsidRPr="00D466AC" w:rsidRDefault="00181425" w:rsidP="00181425">
      <w:pPr>
        <w:pStyle w:val="BodyText"/>
        <w:tabs>
          <w:tab w:val="left" w:pos="2662"/>
        </w:tabs>
        <w:spacing w:before="254"/>
        <w:contextualSpacing/>
        <w:rPr>
          <w:rFonts w:ascii="Calibri" w:hAnsi="Calibri" w:cstheme="minorHAnsi"/>
          <w:b/>
          <w:bC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356713">
        <w:rPr>
          <w:rFonts w:ascii="Calibri" w:hAnsi="Calibri" w:cstheme="minorHAnsi"/>
          <w:b/>
          <w:bCs/>
          <w:caps/>
          <w:sz w:val="21"/>
          <w:szCs w:val="21"/>
        </w:rPr>
        <w:t>7</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Caucus Openings (as at Nov. 23, 2016)</w:t>
      </w:r>
    </w:p>
    <w:p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rsidTr="005B117D">
        <w:tc>
          <w:tcPr>
            <w:tcW w:w="2865" w:type="dxa"/>
          </w:tcPr>
          <w:p w:rsidR="002E35DA" w:rsidRDefault="002E35D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Francophone Caucus</w:t>
            </w:r>
          </w:p>
        </w:tc>
        <w:tc>
          <w:tcPr>
            <w:tcW w:w="5665" w:type="dxa"/>
          </w:tcPr>
          <w:p w:rsidR="00DD22A0" w:rsidRPr="00356713" w:rsidRDefault="00DD22A0" w:rsidP="00356713">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 xml:space="preserve">Christina </w:t>
            </w:r>
            <w:proofErr w:type="spellStart"/>
            <w:r w:rsidRPr="00356713">
              <w:rPr>
                <w:rFonts w:eastAsia="Times New Roman" w:cstheme="minorHAnsi"/>
                <w:color w:val="222222"/>
                <w:sz w:val="24"/>
                <w:szCs w:val="24"/>
              </w:rPr>
              <w:t>Blazecka</w:t>
            </w:r>
            <w:proofErr w:type="spellEnd"/>
            <w:r w:rsidRPr="00356713">
              <w:rPr>
                <w:rFonts w:eastAsia="Times New Roman" w:cstheme="minorHAnsi"/>
                <w:color w:val="222222"/>
                <w:sz w:val="24"/>
                <w:szCs w:val="24"/>
              </w:rPr>
              <w:t>, CEO, Cochrane Public Library</w:t>
            </w:r>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Northern Caucus</w:t>
            </w:r>
          </w:p>
        </w:tc>
        <w:tc>
          <w:tcPr>
            <w:tcW w:w="5665" w:type="dxa"/>
          </w:tcPr>
          <w:p w:rsidR="002E35DA" w:rsidRPr="00DD22A0" w:rsidRDefault="00DD22A0" w:rsidP="00DD22A0">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 xml:space="preserve">Rebecca Hunt, Library CEO/Head Librarian, City of </w:t>
            </w:r>
            <w:proofErr w:type="spellStart"/>
            <w:r w:rsidRPr="00356713">
              <w:rPr>
                <w:rFonts w:eastAsia="Times New Roman" w:cstheme="minorHAnsi"/>
                <w:color w:val="222222"/>
                <w:sz w:val="24"/>
                <w:szCs w:val="24"/>
              </w:rPr>
              <w:t>Temiskaming</w:t>
            </w:r>
            <w:proofErr w:type="spellEnd"/>
            <w:r w:rsidRPr="00356713">
              <w:rPr>
                <w:rFonts w:eastAsia="Times New Roman" w:cstheme="minorHAnsi"/>
                <w:color w:val="222222"/>
                <w:sz w:val="24"/>
                <w:szCs w:val="24"/>
              </w:rPr>
              <w:t xml:space="preserve"> Shores Public Library</w:t>
            </w:r>
            <w:bookmarkStart w:id="0" w:name="_GoBack"/>
            <w:bookmarkEnd w:id="0"/>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Small Medium Caucus</w:t>
            </w:r>
          </w:p>
        </w:tc>
        <w:tc>
          <w:tcPr>
            <w:tcW w:w="5665" w:type="dxa"/>
          </w:tcPr>
          <w:p w:rsidR="002E35DA" w:rsidRPr="00356713" w:rsidRDefault="00C17457" w:rsidP="00356713">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2 Trustees</w:t>
            </w:r>
            <w:r w:rsidR="00356713" w:rsidRPr="00356713">
              <w:rPr>
                <w:rFonts w:asciiTheme="minorHAnsi" w:hAnsiTheme="minorHAnsi" w:cstheme="minorHAnsi"/>
                <w:sz w:val="21"/>
                <w:szCs w:val="21"/>
              </w:rPr>
              <w:t>:</w:t>
            </w:r>
            <w:r w:rsidR="00356713" w:rsidRPr="00356713">
              <w:rPr>
                <w:rFonts w:asciiTheme="minorHAnsi" w:eastAsia="Times New Roman" w:hAnsiTheme="minorHAnsi" w:cstheme="minorHAnsi"/>
                <w:color w:val="222222"/>
                <w:sz w:val="24"/>
                <w:szCs w:val="24"/>
              </w:rPr>
              <w:t xml:space="preserve"> Pierre Giroux, </w:t>
            </w:r>
            <w:r w:rsidR="00356713" w:rsidRPr="00356713">
              <w:rPr>
                <w:rFonts w:asciiTheme="minorHAnsi" w:eastAsia="Times New Roman" w:hAnsiTheme="minorHAnsi" w:cstheme="minorHAnsi"/>
                <w:color w:val="000000"/>
                <w:sz w:val="24"/>
                <w:szCs w:val="24"/>
              </w:rPr>
              <w:t xml:space="preserve">Grimsby Library Board and </w:t>
            </w:r>
            <w:r w:rsidR="00356713" w:rsidRPr="00356713">
              <w:rPr>
                <w:rFonts w:asciiTheme="minorHAnsi" w:hAnsiTheme="minorHAnsi" w:cstheme="minorHAnsi"/>
                <w:sz w:val="24"/>
                <w:szCs w:val="24"/>
                <w:shd w:val="clear" w:color="auto" w:fill="FFFFFF"/>
              </w:rPr>
              <w:t>Paul Nicholls, Trustee from Georgina Library</w:t>
            </w:r>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TPL</w:t>
            </w:r>
          </w:p>
        </w:tc>
        <w:tc>
          <w:tcPr>
            <w:tcW w:w="5665" w:type="dxa"/>
          </w:tcPr>
          <w:p w:rsidR="00356713" w:rsidRPr="00356713" w:rsidRDefault="00356713" w:rsidP="00356713">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1 Trustee TBD</w:t>
            </w:r>
          </w:p>
          <w:p w:rsidR="002E35DA" w:rsidRPr="00356713" w:rsidRDefault="00356713" w:rsidP="00356713">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I Management:</w:t>
            </w:r>
            <w:r>
              <w:rPr>
                <w:rFonts w:asciiTheme="minorHAnsi" w:hAnsiTheme="minorHAnsi" w:cstheme="minorHAnsi"/>
                <w:sz w:val="21"/>
                <w:szCs w:val="21"/>
              </w:rPr>
              <w:t xml:space="preserve"> Elizabeth Glass, Toronto Public Library</w:t>
            </w:r>
          </w:p>
        </w:tc>
      </w:tr>
    </w:tbl>
    <w:p w:rsidR="006D3780" w:rsidRPr="005625B0" w:rsidRDefault="006D3780" w:rsidP="006764B2">
      <w:pPr>
        <w:pStyle w:val="BodyText"/>
        <w:tabs>
          <w:tab w:val="left" w:pos="2662"/>
        </w:tabs>
        <w:spacing w:before="254"/>
        <w:ind w:firstLine="800"/>
        <w:contextualSpacing/>
        <w:rPr>
          <w:rFonts w:ascii="Calibri" w:hAnsi="Calibri" w:cstheme="minorHAnsi"/>
          <w:b/>
          <w:bCs/>
          <w:i/>
          <w:iCs/>
          <w:sz w:val="21"/>
          <w:szCs w:val="21"/>
        </w:rPr>
      </w:pPr>
    </w:p>
    <w:p w:rsidR="006764B2" w:rsidRPr="00D466AC" w:rsidRDefault="006764B2" w:rsidP="006764B2">
      <w:pPr>
        <w:pStyle w:val="BodyText"/>
        <w:tabs>
          <w:tab w:val="left" w:pos="2662"/>
        </w:tabs>
        <w:spacing w:before="254"/>
        <w:ind w:left="900"/>
        <w:contextualSpacing/>
        <w:rPr>
          <w:rFonts w:ascii="Calibri" w:hAnsi="Calibri" w:cstheme="minorHAnsi"/>
          <w:i/>
          <w:iCs/>
          <w:sz w:val="21"/>
          <w:szCs w:val="21"/>
        </w:rPr>
      </w:pPr>
      <w:r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 annual general meeting of the federation of O</w:t>
      </w:r>
      <w:r w:rsidR="008E2B5C">
        <w:rPr>
          <w:rFonts w:ascii="Calibri" w:eastAsiaTheme="minorHAnsi" w:hAnsi="Calibri" w:cstheme="minorHAnsi"/>
          <w:i/>
          <w:iCs/>
          <w:sz w:val="21"/>
          <w:szCs w:val="21"/>
        </w:rPr>
        <w:t>n</w:t>
      </w:r>
      <w:r w:rsidRPr="00D466AC">
        <w:rPr>
          <w:rFonts w:ascii="Calibri" w:eastAsiaTheme="minorHAnsi" w:hAnsi="Calibri" w:cstheme="minorHAnsi"/>
          <w:i/>
          <w:iCs/>
          <w:sz w:val="21"/>
          <w:szCs w:val="21"/>
        </w:rPr>
        <w:t>tario public libraries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9"/>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D3" w:rsidRDefault="003B01D3">
      <w:r>
        <w:separator/>
      </w:r>
    </w:p>
  </w:endnote>
  <w:endnote w:type="continuationSeparator" w:id="0">
    <w:p w:rsidR="003B01D3" w:rsidRDefault="003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D3" w:rsidRDefault="003B01D3">
      <w:r>
        <w:separator/>
      </w:r>
    </w:p>
  </w:footnote>
  <w:footnote w:type="continuationSeparator" w:id="0">
    <w:p w:rsidR="003B01D3" w:rsidRDefault="003B0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8597A21"/>
    <w:multiLevelType w:val="hybridMultilevel"/>
    <w:tmpl w:val="96A8334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2">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2">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7"/>
  </w:num>
  <w:num w:numId="4">
    <w:abstractNumId w:val="14"/>
  </w:num>
  <w:num w:numId="5">
    <w:abstractNumId w:val="9"/>
  </w:num>
  <w:num w:numId="6">
    <w:abstractNumId w:val="7"/>
  </w:num>
  <w:num w:numId="7">
    <w:abstractNumId w:val="1"/>
  </w:num>
  <w:num w:numId="8">
    <w:abstractNumId w:val="10"/>
  </w:num>
  <w:num w:numId="9">
    <w:abstractNumId w:val="19"/>
  </w:num>
  <w:num w:numId="10">
    <w:abstractNumId w:val="15"/>
  </w:num>
  <w:num w:numId="11">
    <w:abstractNumId w:val="20"/>
  </w:num>
  <w:num w:numId="12">
    <w:abstractNumId w:val="12"/>
  </w:num>
  <w:num w:numId="13">
    <w:abstractNumId w:val="2"/>
  </w:num>
  <w:num w:numId="14">
    <w:abstractNumId w:val="16"/>
  </w:num>
  <w:num w:numId="15">
    <w:abstractNumId w:val="5"/>
  </w:num>
  <w:num w:numId="16">
    <w:abstractNumId w:val="18"/>
  </w:num>
  <w:num w:numId="17">
    <w:abstractNumId w:val="8"/>
  </w:num>
  <w:num w:numId="18">
    <w:abstractNumId w:val="3"/>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40FB5"/>
    <w:rsid w:val="00061895"/>
    <w:rsid w:val="00073086"/>
    <w:rsid w:val="00074524"/>
    <w:rsid w:val="000819D9"/>
    <w:rsid w:val="000B4B80"/>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75900"/>
    <w:rsid w:val="002E35DA"/>
    <w:rsid w:val="0030613B"/>
    <w:rsid w:val="003276EB"/>
    <w:rsid w:val="00346BC6"/>
    <w:rsid w:val="00350757"/>
    <w:rsid w:val="00355E31"/>
    <w:rsid w:val="00356713"/>
    <w:rsid w:val="003B01D3"/>
    <w:rsid w:val="003B54DD"/>
    <w:rsid w:val="003C7756"/>
    <w:rsid w:val="00427855"/>
    <w:rsid w:val="00451F01"/>
    <w:rsid w:val="0046140C"/>
    <w:rsid w:val="00471B08"/>
    <w:rsid w:val="0047473A"/>
    <w:rsid w:val="00475967"/>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3780"/>
    <w:rsid w:val="006F794E"/>
    <w:rsid w:val="00711D5D"/>
    <w:rsid w:val="00745F91"/>
    <w:rsid w:val="00756531"/>
    <w:rsid w:val="007622DD"/>
    <w:rsid w:val="00785504"/>
    <w:rsid w:val="007C1D23"/>
    <w:rsid w:val="00835E9C"/>
    <w:rsid w:val="00843803"/>
    <w:rsid w:val="00856DF0"/>
    <w:rsid w:val="00871F7F"/>
    <w:rsid w:val="00873266"/>
    <w:rsid w:val="00881E47"/>
    <w:rsid w:val="00896E3A"/>
    <w:rsid w:val="008B55A9"/>
    <w:rsid w:val="008B60A4"/>
    <w:rsid w:val="008C0BB4"/>
    <w:rsid w:val="008E2B5C"/>
    <w:rsid w:val="00935E84"/>
    <w:rsid w:val="00941FCF"/>
    <w:rsid w:val="0094294F"/>
    <w:rsid w:val="00965FF9"/>
    <w:rsid w:val="0099324F"/>
    <w:rsid w:val="009A4FA7"/>
    <w:rsid w:val="009B0DF8"/>
    <w:rsid w:val="009B21A3"/>
    <w:rsid w:val="009F3A09"/>
    <w:rsid w:val="00A130F5"/>
    <w:rsid w:val="00A156FB"/>
    <w:rsid w:val="00A60F17"/>
    <w:rsid w:val="00AA4332"/>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81D31"/>
    <w:rsid w:val="00C93F92"/>
    <w:rsid w:val="00D33781"/>
    <w:rsid w:val="00D466AC"/>
    <w:rsid w:val="00D61DF4"/>
    <w:rsid w:val="00D80516"/>
    <w:rsid w:val="00D86F5A"/>
    <w:rsid w:val="00D968DB"/>
    <w:rsid w:val="00DB06E3"/>
    <w:rsid w:val="00DD22A0"/>
    <w:rsid w:val="00DF422C"/>
    <w:rsid w:val="00E123AE"/>
    <w:rsid w:val="00E15FC7"/>
    <w:rsid w:val="00E249F3"/>
    <w:rsid w:val="00E55BF6"/>
    <w:rsid w:val="00E67894"/>
    <w:rsid w:val="00E75DF5"/>
    <w:rsid w:val="00E77992"/>
    <w:rsid w:val="00EE357B"/>
    <w:rsid w:val="00F2390D"/>
    <w:rsid w:val="00F30090"/>
    <w:rsid w:val="00F4062D"/>
    <w:rsid w:val="00F4682E"/>
    <w:rsid w:val="00F5469C"/>
    <w:rsid w:val="00F6590A"/>
    <w:rsid w:val="00F7688E"/>
    <w:rsid w:val="00F76B1E"/>
    <w:rsid w:val="00FB4D9A"/>
    <w:rsid w:val="00FE5878"/>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835F-C796-4304-B8A4-93843C38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8</cp:revision>
  <cp:lastPrinted>2014-11-12T16:33:00Z</cp:lastPrinted>
  <dcterms:created xsi:type="dcterms:W3CDTF">2017-01-09T17:53:00Z</dcterms:created>
  <dcterms:modified xsi:type="dcterms:W3CDTF">2017-01-18T16:36:00Z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