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74" w:rsidRDefault="00D30774" w:rsidP="00D30774">
      <w:pPr>
        <w:spacing w:after="0" w:line="240" w:lineRule="auto"/>
        <w:jc w:val="center"/>
        <w:rPr>
          <w:rFonts w:ascii="Calibri" w:eastAsia="Calibri" w:hAnsi="Calibri" w:cs="Arial"/>
          <w:b/>
          <w:bCs/>
        </w:rPr>
      </w:pPr>
      <w:r>
        <w:rPr>
          <w:rFonts w:ascii="Calibri" w:eastAsia="Calibri" w:hAnsi="Calibri" w:cs="Arial"/>
          <w:b/>
          <w:bCs/>
          <w:noProof/>
          <w:lang w:eastAsia="en-CA"/>
        </w:rPr>
        <w:drawing>
          <wp:inline distT="0" distB="0" distL="0" distR="0" wp14:anchorId="3AF3082F" wp14:editId="188DD54F">
            <wp:extent cx="36290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D30774" w:rsidRDefault="00D30774" w:rsidP="00D30774">
      <w:pPr>
        <w:spacing w:after="0" w:line="240" w:lineRule="auto"/>
        <w:jc w:val="center"/>
        <w:rPr>
          <w:rFonts w:ascii="Calibri" w:eastAsia="Calibri" w:hAnsi="Calibri" w:cs="Arial"/>
          <w:b/>
          <w:bCs/>
        </w:rPr>
      </w:pPr>
      <w:r>
        <w:rPr>
          <w:rFonts w:ascii="Calibri" w:eastAsia="Calibri" w:hAnsi="Calibri" w:cs="Arial"/>
          <w:b/>
          <w:bCs/>
          <w:noProof/>
          <w:lang w:eastAsia="en-CA"/>
        </w:rPr>
        <w:drawing>
          <wp:inline distT="0" distB="0" distL="0" distR="0" wp14:anchorId="143CF033" wp14:editId="00D7865C">
            <wp:extent cx="3953427" cy="2000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D30774" w:rsidRDefault="00D30774" w:rsidP="00D30774">
      <w:pPr>
        <w:spacing w:after="0" w:line="240" w:lineRule="auto"/>
        <w:jc w:val="center"/>
        <w:rPr>
          <w:rFonts w:ascii="Calibri" w:eastAsia="Calibri" w:hAnsi="Calibri" w:cs="Arial"/>
          <w:b/>
          <w:bCs/>
        </w:rPr>
      </w:pPr>
    </w:p>
    <w:p w:rsidR="00D30774" w:rsidRDefault="00D30774" w:rsidP="00D30774">
      <w:pPr>
        <w:spacing w:after="0" w:line="240" w:lineRule="auto"/>
        <w:jc w:val="center"/>
        <w:rPr>
          <w:rFonts w:ascii="Calibri" w:eastAsia="Calibri" w:hAnsi="Calibri" w:cs="Arial"/>
          <w:b/>
          <w:bCs/>
        </w:rPr>
      </w:pPr>
      <w:r>
        <w:rPr>
          <w:rFonts w:ascii="Calibri" w:eastAsia="Calibri" w:hAnsi="Calibri" w:cs="Arial"/>
          <w:b/>
          <w:bCs/>
        </w:rPr>
        <w:t xml:space="preserve">DOC </w:t>
      </w:r>
      <w:r>
        <w:rPr>
          <w:rFonts w:ascii="Calibri" w:eastAsia="Calibri" w:hAnsi="Calibri" w:cs="Arial"/>
          <w:b/>
          <w:bCs/>
        </w:rPr>
        <w:t>6</w:t>
      </w:r>
    </w:p>
    <w:p w:rsidR="00D30774" w:rsidRPr="005A6624" w:rsidRDefault="00D30774" w:rsidP="00D30774">
      <w:pPr>
        <w:spacing w:after="0" w:line="240" w:lineRule="auto"/>
        <w:jc w:val="center"/>
        <w:rPr>
          <w:rFonts w:ascii="Calibri" w:eastAsia="Calibri" w:hAnsi="Calibri" w:cs="Arial"/>
          <w:b/>
          <w:bCs/>
        </w:rPr>
      </w:pPr>
      <w:r w:rsidRPr="005A6624">
        <w:rPr>
          <w:rFonts w:ascii="Calibri" w:eastAsia="Calibri" w:hAnsi="Calibri" w:cs="Arial"/>
          <w:b/>
          <w:bCs/>
        </w:rPr>
        <w:t>Federation of Ontario Public Libraries</w:t>
      </w:r>
    </w:p>
    <w:p w:rsidR="00D30774" w:rsidRPr="005A6624" w:rsidRDefault="00D30774" w:rsidP="00D30774">
      <w:pPr>
        <w:spacing w:after="0" w:line="240" w:lineRule="auto"/>
        <w:jc w:val="center"/>
        <w:rPr>
          <w:rFonts w:ascii="Calibri" w:eastAsia="Calibri" w:hAnsi="Calibri" w:cs="Arial"/>
          <w:b/>
          <w:bCs/>
        </w:rPr>
      </w:pPr>
      <w:r>
        <w:rPr>
          <w:rFonts w:ascii="Calibri" w:eastAsia="Calibri" w:hAnsi="Calibri" w:cs="Arial"/>
          <w:b/>
          <w:bCs/>
        </w:rPr>
        <w:t>OLS-North Truth &amp; Reconciliation Motion</w:t>
      </w:r>
    </w:p>
    <w:p w:rsidR="00D30774" w:rsidRDefault="00D30774" w:rsidP="00D30774">
      <w:pPr>
        <w:spacing w:after="0" w:line="240" w:lineRule="auto"/>
        <w:jc w:val="center"/>
        <w:rPr>
          <w:rFonts w:ascii="Calibri" w:eastAsia="Calibri" w:hAnsi="Calibri" w:cs="Arial"/>
          <w:b/>
          <w:bCs/>
        </w:rPr>
      </w:pPr>
      <w:r>
        <w:rPr>
          <w:rFonts w:ascii="Calibri" w:eastAsia="Calibri" w:hAnsi="Calibri" w:cs="Arial"/>
          <w:b/>
          <w:bCs/>
        </w:rPr>
        <w:t>March 22, 2019 BoD Meeting</w:t>
      </w:r>
    </w:p>
    <w:p w:rsidR="00D30774" w:rsidRDefault="00D30774" w:rsidP="00D30774">
      <w:pPr>
        <w:spacing w:after="0" w:line="240" w:lineRule="auto"/>
        <w:jc w:val="center"/>
        <w:rPr>
          <w:rFonts w:ascii="Calibri" w:eastAsia="Calibri" w:hAnsi="Calibri" w:cs="Arial"/>
          <w:b/>
          <w:bCs/>
        </w:rPr>
      </w:pPr>
    </w:p>
    <w:p w:rsidR="00D30774" w:rsidRDefault="00D30774">
      <w:bookmarkStart w:id="0" w:name="_GoBack"/>
      <w:bookmarkEnd w:id="0"/>
    </w:p>
    <w:p w:rsidR="00471394" w:rsidRDefault="0033546D" w:rsidP="00A85AFF">
      <w:pPr>
        <w:jc w:val="center"/>
      </w:pPr>
      <w:r>
        <w:t xml:space="preserve">Board </w:t>
      </w:r>
      <w:r w:rsidR="00A85AFF">
        <w:t>Motion</w:t>
      </w:r>
    </w:p>
    <w:p w:rsidR="00A85AFF" w:rsidRDefault="00A85AFF" w:rsidP="00A85AFF">
      <w:pPr>
        <w:jc w:val="center"/>
      </w:pPr>
      <w:r>
        <w:t>On Board Commitment to the First Nation Calls to Action</w:t>
      </w:r>
    </w:p>
    <w:p w:rsidR="00A85AFF" w:rsidRDefault="00A85AFF" w:rsidP="00A85AFF">
      <w:pPr>
        <w:jc w:val="center"/>
      </w:pPr>
    </w:p>
    <w:p w:rsidR="00A85AFF" w:rsidRDefault="00A85AFF" w:rsidP="00A85AFF">
      <w:pPr>
        <w:jc w:val="center"/>
      </w:pPr>
    </w:p>
    <w:p w:rsidR="00A85AFF" w:rsidRDefault="00A85AFF" w:rsidP="00A85AFF">
      <w:r>
        <w:t xml:space="preserve">“The Northern Ontario Library Service Board is committed to continuing the journey of reconciliation as outlined in the </w:t>
      </w:r>
      <w:r w:rsidR="005E0E0F">
        <w:t xml:space="preserve">Commission on Truth and Reconciliation’s (CTR) </w:t>
      </w:r>
      <w:r w:rsidR="00524BEF">
        <w:t xml:space="preserve">Calls for Action </w:t>
      </w:r>
      <w:r>
        <w:t>and the Truth and Reconciliation</w:t>
      </w:r>
      <w:r w:rsidR="00524BEF">
        <w:t xml:space="preserve"> Committee’s</w:t>
      </w:r>
      <w:r>
        <w:t xml:space="preserve"> Report of the Canadian Federation of Library Associations</w:t>
      </w:r>
      <w:r w:rsidR="005E0E0F">
        <w:t xml:space="preserve"> (CFLA)</w:t>
      </w:r>
      <w:r>
        <w:t>. The Board supports the staff</w:t>
      </w:r>
      <w:r w:rsidR="005E0E0F">
        <w:t xml:space="preserve"> </w:t>
      </w:r>
      <w:r>
        <w:t xml:space="preserve">plan to assist municipal and First Nation </w:t>
      </w:r>
      <w:r w:rsidR="005E0E0F">
        <w:t>Public Libraries</w:t>
      </w:r>
      <w:r>
        <w:t xml:space="preserve"> in this journey</w:t>
      </w:r>
      <w:r w:rsidR="00524BEF">
        <w:t>.</w:t>
      </w:r>
      <w:r>
        <w:t>”</w:t>
      </w:r>
    </w:p>
    <w:p w:rsidR="0031678F" w:rsidRDefault="0031678F" w:rsidP="00A85AFF"/>
    <w:p w:rsidR="0031678F" w:rsidRDefault="0031678F">
      <w:r>
        <w:br w:type="page"/>
      </w:r>
    </w:p>
    <w:p w:rsidR="0031678F" w:rsidRDefault="0031678F" w:rsidP="0031678F">
      <w:pPr>
        <w:spacing w:after="0"/>
        <w:jc w:val="center"/>
      </w:pPr>
      <w:r>
        <w:lastRenderedPageBreak/>
        <w:t>A Review of First Nation Service Opportunities which support</w:t>
      </w:r>
    </w:p>
    <w:p w:rsidR="0031678F" w:rsidRDefault="0031678F" w:rsidP="0031678F">
      <w:pPr>
        <w:spacing w:after="0"/>
        <w:jc w:val="center"/>
      </w:pPr>
      <w:r>
        <w:t>Truth and Reconciliation</w:t>
      </w:r>
    </w:p>
    <w:p w:rsidR="0031678F" w:rsidRDefault="0031678F" w:rsidP="0031678F">
      <w:pPr>
        <w:spacing w:after="0"/>
        <w:jc w:val="center"/>
      </w:pPr>
    </w:p>
    <w:p w:rsidR="0031678F" w:rsidRDefault="0031678F" w:rsidP="0031678F">
      <w:pPr>
        <w:spacing w:after="0"/>
        <w:jc w:val="center"/>
      </w:pPr>
    </w:p>
    <w:p w:rsidR="00CA5262" w:rsidRDefault="00CA5262" w:rsidP="00CA5262">
      <w:pPr>
        <w:spacing w:after="0"/>
      </w:pPr>
      <w:r>
        <w:t xml:space="preserve">This report mirrors that of </w:t>
      </w:r>
      <w:r w:rsidR="00524BEF">
        <w:t>Canadian Federation of Library Association ‘s (</w:t>
      </w:r>
      <w:r w:rsidR="005E0E0F">
        <w:t>CFLA</w:t>
      </w:r>
      <w:r w:rsidR="00524BEF">
        <w:t>)</w:t>
      </w:r>
      <w:r>
        <w:t xml:space="preserve"> Truth and Reconciliation </w:t>
      </w:r>
      <w:r w:rsidR="005E0E0F">
        <w:t>Committee which adopts</w:t>
      </w:r>
      <w:r>
        <w:t xml:space="preserve"> the Medicine Wheel Framework as a means of understanding the indige</w:t>
      </w:r>
      <w:r w:rsidR="005E0E0F">
        <w:t>nous world view.  The Medicine W</w:t>
      </w:r>
      <w:r>
        <w:t>heel has four colours facing four directions, North, East, South and West.  For purposes of looking at our services and how they support the calls for action, theses directions are represented as the following:</w:t>
      </w:r>
    </w:p>
    <w:p w:rsidR="00CA5262" w:rsidRDefault="00CA5262" w:rsidP="00CA5262">
      <w:pPr>
        <w:spacing w:after="0"/>
      </w:pPr>
    </w:p>
    <w:p w:rsidR="00CA5262" w:rsidRDefault="00CA5262" w:rsidP="00CA5262">
      <w:pPr>
        <w:spacing w:after="0"/>
      </w:pPr>
      <w:r>
        <w:t xml:space="preserve">White </w:t>
      </w:r>
      <w:r w:rsidR="00071A06">
        <w:tab/>
      </w:r>
      <w:r w:rsidR="00071A06">
        <w:tab/>
      </w:r>
      <w:r w:rsidR="00524BEF">
        <w:t xml:space="preserve">Truth and Reconciliation </w:t>
      </w:r>
      <w:r>
        <w:t>C</w:t>
      </w:r>
      <w:r w:rsidR="00524BEF">
        <w:t>ommittee’s</w:t>
      </w:r>
      <w:r w:rsidR="00524BEF">
        <w:tab/>
      </w:r>
      <w:r>
        <w:t xml:space="preserve"> Calls to Action an</w:t>
      </w:r>
      <w:r w:rsidR="00801024">
        <w:t>d Gaps or challenges to Services</w:t>
      </w:r>
    </w:p>
    <w:p w:rsidR="003E6135" w:rsidRDefault="003E6135" w:rsidP="003E6135">
      <w:pPr>
        <w:spacing w:after="0"/>
      </w:pPr>
      <w:r>
        <w:t>Yellow</w:t>
      </w:r>
      <w:r>
        <w:tab/>
      </w:r>
      <w:r>
        <w:tab/>
        <w:t>Decolonization of space and access</w:t>
      </w:r>
    </w:p>
    <w:p w:rsidR="003E6135" w:rsidRDefault="003E6135" w:rsidP="003E6135">
      <w:pPr>
        <w:spacing w:after="0"/>
      </w:pPr>
      <w:r>
        <w:t>Red</w:t>
      </w:r>
      <w:r>
        <w:tab/>
      </w:r>
      <w:r>
        <w:tab/>
        <w:t>Relationship Building</w:t>
      </w:r>
    </w:p>
    <w:p w:rsidR="004803C8" w:rsidRDefault="004803C8" w:rsidP="004803C8">
      <w:pPr>
        <w:spacing w:after="0"/>
      </w:pPr>
      <w:r>
        <w:t xml:space="preserve">Black </w:t>
      </w:r>
      <w:r w:rsidR="00071A06">
        <w:t xml:space="preserve"> </w:t>
      </w:r>
      <w:r w:rsidR="00071A06">
        <w:tab/>
      </w:r>
      <w:r w:rsidR="00071A06">
        <w:tab/>
      </w:r>
      <w:r>
        <w:t>Environmental Scan of Best Practices</w:t>
      </w:r>
    </w:p>
    <w:p w:rsidR="003E6135" w:rsidRDefault="003E6135" w:rsidP="004803C8">
      <w:pPr>
        <w:spacing w:after="0"/>
      </w:pPr>
    </w:p>
    <w:p w:rsidR="003E6135" w:rsidRDefault="003E6135" w:rsidP="004803C8">
      <w:pPr>
        <w:spacing w:after="0"/>
      </w:pPr>
      <w:r>
        <w:t xml:space="preserve">We have used the colours of the wheel as recognized by the Ojibway population which constitutes the majority of our clientele.  In the Committee’s report, the colours for the east and south are reversed, likely in keeping with the beliefs of other First Nation </w:t>
      </w:r>
      <w:r w:rsidR="00382B19">
        <w:t>groups.</w:t>
      </w:r>
    </w:p>
    <w:p w:rsidR="004803C8" w:rsidRDefault="004803C8" w:rsidP="00CA5262">
      <w:pPr>
        <w:spacing w:after="0"/>
      </w:pPr>
    </w:p>
    <w:p w:rsidR="00801024" w:rsidRDefault="00801024" w:rsidP="00CA5262">
      <w:pPr>
        <w:spacing w:after="0"/>
      </w:pPr>
    </w:p>
    <w:p w:rsidR="00801024" w:rsidRDefault="00801024" w:rsidP="00CA5262">
      <w:pPr>
        <w:spacing w:after="0"/>
      </w:pPr>
    </w:p>
    <w:p w:rsidR="004803C8" w:rsidRDefault="00A0725A" w:rsidP="00CA5262">
      <w:pPr>
        <w:spacing w:after="0"/>
      </w:pPr>
      <w:r>
        <w:rPr>
          <w:noProof/>
          <w:lang w:eastAsia="en-CA"/>
        </w:rPr>
        <w:drawing>
          <wp:inline distT="0" distB="0" distL="0" distR="0">
            <wp:extent cx="3335258" cy="2643968"/>
            <wp:effectExtent l="0" t="0" r="0" b="4445"/>
            <wp:docPr id="2" name="Picture 2" descr="C:\Users\lclendening\AppData\Local\Microsoft\Windows\Temporary Internet Files\Content.Outlook\XS1KNIN5\Updated - Medicine Wheel - L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lendening\AppData\Local\Microsoft\Windows\Temporary Internet Files\Content.Outlook\XS1KNIN5\Updated - Medicine Wheel - L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9261" cy="2647142"/>
                    </a:xfrm>
                    <a:prstGeom prst="rect">
                      <a:avLst/>
                    </a:prstGeom>
                    <a:noFill/>
                    <a:ln>
                      <a:noFill/>
                    </a:ln>
                  </pic:spPr>
                </pic:pic>
              </a:graphicData>
            </a:graphic>
          </wp:inline>
        </w:drawing>
      </w:r>
    </w:p>
    <w:p w:rsidR="00801024" w:rsidRDefault="00801024" w:rsidP="00CA5262">
      <w:pPr>
        <w:spacing w:after="0"/>
      </w:pPr>
    </w:p>
    <w:p w:rsidR="002E150A" w:rsidRDefault="002E150A" w:rsidP="002E150A">
      <w:pPr>
        <w:spacing w:after="0"/>
      </w:pPr>
      <w:r>
        <w:t xml:space="preserve">Ontario Library Service – North has provided support to First Nation Libraries for many years.  The model we have used has involved a great deal of listening and consultation, but we recognize the need to continue to learn from our First Nation Stakeholders in order to </w:t>
      </w:r>
      <w:r w:rsidR="005E0E0F">
        <w:t>work towards</w:t>
      </w:r>
      <w:r>
        <w:t xml:space="preserve"> reconciliation.</w:t>
      </w:r>
    </w:p>
    <w:p w:rsidR="00801024" w:rsidRDefault="00801024" w:rsidP="00CA5262">
      <w:pPr>
        <w:spacing w:after="0"/>
      </w:pPr>
      <w:r>
        <w:t xml:space="preserve">The Truth and </w:t>
      </w:r>
      <w:r w:rsidR="00663047">
        <w:t>Reconciliation</w:t>
      </w:r>
      <w:r>
        <w:t xml:space="preserve"> Commission</w:t>
      </w:r>
      <w:r w:rsidR="002E150A">
        <w:t xml:space="preserve"> Calls to Action provides a place to begin and the work of the Truth and </w:t>
      </w:r>
      <w:r w:rsidR="00663047">
        <w:t>Reconciliation Committee</w:t>
      </w:r>
      <w:r w:rsidR="002E150A">
        <w:t xml:space="preserve"> ensures that the library community will share this journey.</w:t>
      </w:r>
      <w:r w:rsidR="00663047">
        <w:t xml:space="preserve">  The </w:t>
      </w:r>
      <w:r w:rsidR="00663047">
        <w:lastRenderedPageBreak/>
        <w:t xml:space="preserve">Truth and Reconciliation Commission issued 94 Calls to Action on a variety of </w:t>
      </w:r>
      <w:r w:rsidR="00F13A7C">
        <w:t>themes including</w:t>
      </w:r>
      <w:r w:rsidR="005E0E0F">
        <w:t xml:space="preserve"> c</w:t>
      </w:r>
      <w:r w:rsidR="00663047">
        <w:t>hild welfare, educati</w:t>
      </w:r>
      <w:r w:rsidR="00F13A7C">
        <w:t xml:space="preserve">on, </w:t>
      </w:r>
      <w:r w:rsidR="005E0E0F">
        <w:t>language and c</w:t>
      </w:r>
      <w:r w:rsidR="00F13A7C">
        <w:t xml:space="preserve">ulture, and health.   The </w:t>
      </w:r>
      <w:r w:rsidR="005E0E0F">
        <w:t xml:space="preserve">CFLA </w:t>
      </w:r>
      <w:r w:rsidR="00F13A7C">
        <w:t>Committee took the time to study these calls to action and visualize a role for libraries in their implementation or distribution of informational results.</w:t>
      </w:r>
    </w:p>
    <w:p w:rsidR="007C0CD0" w:rsidRDefault="007C0CD0" w:rsidP="00CA5262">
      <w:pPr>
        <w:spacing w:after="0"/>
      </w:pPr>
    </w:p>
    <w:p w:rsidR="007C0CD0" w:rsidRDefault="00A0725A" w:rsidP="007C0CD0">
      <w:pPr>
        <w:spacing w:after="0"/>
      </w:pPr>
      <w:r>
        <w:t xml:space="preserve">North </w:t>
      </w:r>
    </w:p>
    <w:p w:rsidR="007C0CD0" w:rsidRDefault="007C0CD0" w:rsidP="00CA5262">
      <w:pPr>
        <w:spacing w:after="0"/>
      </w:pPr>
    </w:p>
    <w:p w:rsidR="007C0CD0" w:rsidRDefault="007C0CD0" w:rsidP="00CA5262">
      <w:pPr>
        <w:spacing w:after="0"/>
      </w:pPr>
      <w:r>
        <w:t>The White Sector of the Medicine Wheel traditionally represents the North, Winter, and the mental aspect of our self.  Here we consider the Calls to Action themselves and the gaps needed to be addressed.</w:t>
      </w:r>
    </w:p>
    <w:p w:rsidR="00F13A7C" w:rsidRDefault="00F13A7C" w:rsidP="00CA5262">
      <w:pPr>
        <w:spacing w:after="0"/>
      </w:pPr>
    </w:p>
    <w:tbl>
      <w:tblPr>
        <w:tblStyle w:val="TableGrid"/>
        <w:tblW w:w="0" w:type="auto"/>
        <w:tblLook w:val="04A0" w:firstRow="1" w:lastRow="0" w:firstColumn="1" w:lastColumn="0" w:noHBand="0" w:noVBand="1"/>
      </w:tblPr>
      <w:tblGrid>
        <w:gridCol w:w="3117"/>
        <w:gridCol w:w="3107"/>
        <w:gridCol w:w="3126"/>
      </w:tblGrid>
      <w:tr w:rsidR="007C0CD0" w:rsidTr="00590660">
        <w:tc>
          <w:tcPr>
            <w:tcW w:w="3192" w:type="dxa"/>
          </w:tcPr>
          <w:p w:rsidR="007C0CD0" w:rsidRDefault="007C0CD0" w:rsidP="00CA5262">
            <w:r>
              <w:t>Activity</w:t>
            </w:r>
          </w:p>
        </w:tc>
        <w:tc>
          <w:tcPr>
            <w:tcW w:w="3192" w:type="dxa"/>
          </w:tcPr>
          <w:p w:rsidR="007C0CD0" w:rsidRDefault="007C0CD0" w:rsidP="00CA5262">
            <w:r>
              <w:t xml:space="preserve">Call to Action </w:t>
            </w:r>
          </w:p>
        </w:tc>
        <w:tc>
          <w:tcPr>
            <w:tcW w:w="3192" w:type="dxa"/>
          </w:tcPr>
          <w:p w:rsidR="007C0CD0" w:rsidRDefault="007C0CD0" w:rsidP="00CA5262">
            <w:r>
              <w:t>Means</w:t>
            </w:r>
          </w:p>
        </w:tc>
      </w:tr>
      <w:tr w:rsidR="00A712A3" w:rsidTr="00590660">
        <w:tc>
          <w:tcPr>
            <w:tcW w:w="3192" w:type="dxa"/>
          </w:tcPr>
          <w:p w:rsidR="00A712A3" w:rsidRDefault="00A712A3" w:rsidP="00CA5262">
            <w:r>
              <w:t>First Nation Library Portal</w:t>
            </w:r>
          </w:p>
        </w:tc>
        <w:tc>
          <w:tcPr>
            <w:tcW w:w="3192" w:type="dxa"/>
          </w:tcPr>
          <w:p w:rsidR="00A712A3" w:rsidRDefault="00A712A3" w:rsidP="00CA5262">
            <w:r>
              <w:t xml:space="preserve">Call to Action </w:t>
            </w:r>
            <w:r w:rsidR="005E0E0F">
              <w:t>#</w:t>
            </w:r>
            <w:r>
              <w:t xml:space="preserve">13 and </w:t>
            </w:r>
            <w:r w:rsidR="005E0E0F">
              <w:t>#</w:t>
            </w:r>
            <w:r>
              <w:t>14</w:t>
            </w:r>
          </w:p>
        </w:tc>
        <w:tc>
          <w:tcPr>
            <w:tcW w:w="3192" w:type="dxa"/>
          </w:tcPr>
          <w:p w:rsidR="00A712A3" w:rsidRDefault="00A712A3" w:rsidP="00CA5262">
            <w:r>
              <w:t>Continue to enhance and promote</w:t>
            </w:r>
            <w:r w:rsidR="00524BEF">
              <w:t xml:space="preserve"> the First Nation Language Portal</w:t>
            </w:r>
          </w:p>
        </w:tc>
      </w:tr>
      <w:tr w:rsidR="00590660" w:rsidTr="00590660">
        <w:tc>
          <w:tcPr>
            <w:tcW w:w="3192" w:type="dxa"/>
          </w:tcPr>
          <w:p w:rsidR="00590660" w:rsidRDefault="00590660" w:rsidP="00CA5262">
            <w:r>
              <w:t>Succession planning and recruitment</w:t>
            </w:r>
          </w:p>
        </w:tc>
        <w:tc>
          <w:tcPr>
            <w:tcW w:w="3192" w:type="dxa"/>
          </w:tcPr>
          <w:p w:rsidR="00590660" w:rsidRDefault="009456EA" w:rsidP="00CA5262">
            <w:r>
              <w:t xml:space="preserve">Call to Action </w:t>
            </w:r>
            <w:r w:rsidR="005E0E0F">
              <w:t>#7</w:t>
            </w:r>
          </w:p>
        </w:tc>
        <w:tc>
          <w:tcPr>
            <w:tcW w:w="3192" w:type="dxa"/>
          </w:tcPr>
          <w:p w:rsidR="00590660" w:rsidRDefault="009456EA" w:rsidP="00CA5262">
            <w:r>
              <w:t>Through our consulting and advisory services assist FN librarians in planning for succession and community recruitment</w:t>
            </w:r>
          </w:p>
        </w:tc>
      </w:tr>
      <w:tr w:rsidR="00590660" w:rsidTr="00590660">
        <w:tc>
          <w:tcPr>
            <w:tcW w:w="3192" w:type="dxa"/>
          </w:tcPr>
          <w:p w:rsidR="00590660" w:rsidRDefault="00590660" w:rsidP="00CA5262">
            <w:r>
              <w:t>Promote knowledge of best policies and responses to TRC Calls to Act</w:t>
            </w:r>
            <w:r w:rsidR="009456EA">
              <w:t>ion amongst First Nation Librari</w:t>
            </w:r>
            <w:r>
              <w:t xml:space="preserve">es </w:t>
            </w:r>
          </w:p>
        </w:tc>
        <w:tc>
          <w:tcPr>
            <w:tcW w:w="3192" w:type="dxa"/>
          </w:tcPr>
          <w:p w:rsidR="00590660" w:rsidRDefault="009456EA" w:rsidP="009456EA">
            <w:r>
              <w:t xml:space="preserve">General Response to the TRC There are many initiatives already completed or underway by CFLA and others. </w:t>
            </w:r>
          </w:p>
        </w:tc>
        <w:tc>
          <w:tcPr>
            <w:tcW w:w="3192" w:type="dxa"/>
          </w:tcPr>
          <w:p w:rsidR="00590660" w:rsidRDefault="009456EA" w:rsidP="00CA5262">
            <w:r>
              <w:t xml:space="preserve">Through our existing lines of communication with our clients, ensure that they are aware </w:t>
            </w:r>
            <w:r w:rsidR="00524BEF">
              <w:t xml:space="preserve">of </w:t>
            </w:r>
            <w:r>
              <w:t>these initiatives and can access the results.</w:t>
            </w:r>
          </w:p>
        </w:tc>
      </w:tr>
      <w:tr w:rsidR="00590660" w:rsidTr="00590660">
        <w:tc>
          <w:tcPr>
            <w:tcW w:w="3192" w:type="dxa"/>
          </w:tcPr>
          <w:p w:rsidR="00590660" w:rsidRDefault="00590660" w:rsidP="00CA5262">
            <w:r>
              <w:t>Assist with development of homework clubs</w:t>
            </w:r>
          </w:p>
        </w:tc>
        <w:tc>
          <w:tcPr>
            <w:tcW w:w="3192" w:type="dxa"/>
          </w:tcPr>
          <w:p w:rsidR="00590660" w:rsidRDefault="00590660" w:rsidP="00CA5262">
            <w:r>
              <w:t xml:space="preserve">Call to Action </w:t>
            </w:r>
            <w:r w:rsidR="005E0E0F">
              <w:t>#</w:t>
            </w:r>
            <w:r>
              <w:t>10</w:t>
            </w:r>
          </w:p>
        </w:tc>
        <w:tc>
          <w:tcPr>
            <w:tcW w:w="3192" w:type="dxa"/>
          </w:tcPr>
          <w:p w:rsidR="00590660" w:rsidRDefault="009456EA" w:rsidP="00CA5262">
            <w:r>
              <w:t>Already available through consulting</w:t>
            </w:r>
          </w:p>
        </w:tc>
      </w:tr>
      <w:tr w:rsidR="00590660" w:rsidTr="00590660">
        <w:tc>
          <w:tcPr>
            <w:tcW w:w="3192" w:type="dxa"/>
          </w:tcPr>
          <w:p w:rsidR="00590660" w:rsidRDefault="00590660" w:rsidP="00CA5262">
            <w:r>
              <w:t>Assisted with development of First Nation Collections</w:t>
            </w:r>
          </w:p>
        </w:tc>
        <w:tc>
          <w:tcPr>
            <w:tcW w:w="3192" w:type="dxa"/>
          </w:tcPr>
          <w:p w:rsidR="00590660" w:rsidRDefault="00590660" w:rsidP="00CA5262">
            <w:r>
              <w:t xml:space="preserve">Call to Action </w:t>
            </w:r>
            <w:r w:rsidR="005E0E0F">
              <w:t>#</w:t>
            </w:r>
            <w:r>
              <w:t>10</w:t>
            </w:r>
          </w:p>
        </w:tc>
        <w:tc>
          <w:tcPr>
            <w:tcW w:w="3192" w:type="dxa"/>
          </w:tcPr>
          <w:p w:rsidR="00590660" w:rsidRDefault="009456EA" w:rsidP="00CA5262">
            <w:r>
              <w:t>Already available through consulting</w:t>
            </w:r>
          </w:p>
        </w:tc>
      </w:tr>
      <w:tr w:rsidR="00590660" w:rsidTr="00590660">
        <w:tc>
          <w:tcPr>
            <w:tcW w:w="3192" w:type="dxa"/>
          </w:tcPr>
          <w:p w:rsidR="00590660" w:rsidRDefault="00590660" w:rsidP="00CA5262">
            <w:r>
              <w:t>Assistance with development of Community-led processes in FN libraries</w:t>
            </w:r>
          </w:p>
        </w:tc>
        <w:tc>
          <w:tcPr>
            <w:tcW w:w="3192" w:type="dxa"/>
          </w:tcPr>
          <w:p w:rsidR="00590660" w:rsidRDefault="00590660" w:rsidP="00CA5262">
            <w:r>
              <w:t xml:space="preserve">Call to Action </w:t>
            </w:r>
            <w:r w:rsidR="005E0E0F">
              <w:t>#</w:t>
            </w:r>
            <w:r>
              <w:t>10</w:t>
            </w:r>
            <w:r w:rsidR="00D23F82">
              <w:t xml:space="preserve"> </w:t>
            </w:r>
          </w:p>
        </w:tc>
        <w:tc>
          <w:tcPr>
            <w:tcW w:w="3192" w:type="dxa"/>
          </w:tcPr>
          <w:p w:rsidR="00590660" w:rsidRDefault="009456EA" w:rsidP="00CA5262">
            <w:r>
              <w:t>Make use of existing community development tools to advise clients on best practices in this area</w:t>
            </w:r>
          </w:p>
        </w:tc>
      </w:tr>
      <w:tr w:rsidR="00590660" w:rsidTr="00590660">
        <w:tc>
          <w:tcPr>
            <w:tcW w:w="3192" w:type="dxa"/>
          </w:tcPr>
          <w:p w:rsidR="00590660" w:rsidRDefault="00590660" w:rsidP="00CA5262">
            <w:r>
              <w:t>As</w:t>
            </w:r>
            <w:r w:rsidR="00524BEF">
              <w:t>sistance in the development of s</w:t>
            </w:r>
            <w:r>
              <w:t>torytime and programs</w:t>
            </w:r>
          </w:p>
        </w:tc>
        <w:tc>
          <w:tcPr>
            <w:tcW w:w="3192" w:type="dxa"/>
          </w:tcPr>
          <w:p w:rsidR="00590660" w:rsidRDefault="00A0725A" w:rsidP="00CA5262">
            <w:r>
              <w:t xml:space="preserve">Call to Action </w:t>
            </w:r>
            <w:r w:rsidR="005E0E0F">
              <w:t>#</w:t>
            </w:r>
            <w:r w:rsidR="00590660">
              <w:t>12</w:t>
            </w:r>
          </w:p>
        </w:tc>
        <w:tc>
          <w:tcPr>
            <w:tcW w:w="3192" w:type="dxa"/>
          </w:tcPr>
          <w:p w:rsidR="00590660" w:rsidRDefault="009456EA" w:rsidP="00CA5262">
            <w:r>
              <w:t>Already available through consulting</w:t>
            </w:r>
          </w:p>
        </w:tc>
      </w:tr>
      <w:tr w:rsidR="00590660" w:rsidTr="00590660">
        <w:tc>
          <w:tcPr>
            <w:tcW w:w="3192" w:type="dxa"/>
          </w:tcPr>
          <w:p w:rsidR="00590660" w:rsidRDefault="00590660" w:rsidP="00CA5262">
            <w:r>
              <w:t xml:space="preserve">Create a strategy for ongoing diversity and cultural training to OLS </w:t>
            </w:r>
            <w:r w:rsidR="00524BEF">
              <w:t>–</w:t>
            </w:r>
            <w:r>
              <w:t xml:space="preserve"> North</w:t>
            </w:r>
            <w:r w:rsidR="00524BEF">
              <w:t xml:space="preserve"> staff</w:t>
            </w:r>
          </w:p>
        </w:tc>
        <w:tc>
          <w:tcPr>
            <w:tcW w:w="3192" w:type="dxa"/>
          </w:tcPr>
          <w:p w:rsidR="00590660" w:rsidRDefault="00590660" w:rsidP="00CA5262">
            <w:r>
              <w:t xml:space="preserve">Call to Action </w:t>
            </w:r>
            <w:r w:rsidR="00D23F82">
              <w:t xml:space="preserve"> </w:t>
            </w:r>
            <w:r w:rsidR="005E0E0F">
              <w:t>#</w:t>
            </w:r>
            <w:r w:rsidR="00D23F82">
              <w:t xml:space="preserve">57 </w:t>
            </w:r>
          </w:p>
        </w:tc>
        <w:tc>
          <w:tcPr>
            <w:tcW w:w="3192" w:type="dxa"/>
          </w:tcPr>
          <w:p w:rsidR="00590660" w:rsidRDefault="009456EA" w:rsidP="00CA5262">
            <w:r>
              <w:t>Tasked to PAL team in consultation with FN advisors.</w:t>
            </w:r>
          </w:p>
        </w:tc>
      </w:tr>
      <w:tr w:rsidR="00590660" w:rsidTr="00590660">
        <w:tc>
          <w:tcPr>
            <w:tcW w:w="3192" w:type="dxa"/>
          </w:tcPr>
          <w:p w:rsidR="00590660" w:rsidRDefault="00590660" w:rsidP="00CA5262">
            <w:r>
              <w:t>NOLSB and OLS</w:t>
            </w:r>
            <w:r w:rsidR="00524BEF">
              <w:t xml:space="preserve"> </w:t>
            </w:r>
            <w:r>
              <w:t>-</w:t>
            </w:r>
            <w:r w:rsidR="00524BEF">
              <w:t xml:space="preserve"> </w:t>
            </w:r>
            <w:r>
              <w:t>North to acknowledge the traditional and territories at any public meeting or event.</w:t>
            </w:r>
          </w:p>
        </w:tc>
        <w:tc>
          <w:tcPr>
            <w:tcW w:w="3192" w:type="dxa"/>
          </w:tcPr>
          <w:p w:rsidR="00590660" w:rsidRDefault="00A0725A" w:rsidP="00CA5262">
            <w:r>
              <w:t xml:space="preserve">Call to Action </w:t>
            </w:r>
            <w:r w:rsidR="00524BEF">
              <w:t>#</w:t>
            </w:r>
            <w:r>
              <w:t>43</w:t>
            </w:r>
          </w:p>
        </w:tc>
        <w:tc>
          <w:tcPr>
            <w:tcW w:w="3192" w:type="dxa"/>
          </w:tcPr>
          <w:p w:rsidR="00590660" w:rsidRDefault="009456EA" w:rsidP="00CA5262">
            <w:r>
              <w:t>The following to be added to Board agendas and opening comments at events.</w:t>
            </w:r>
          </w:p>
        </w:tc>
      </w:tr>
    </w:tbl>
    <w:p w:rsidR="002E150A" w:rsidRDefault="002E150A" w:rsidP="00CA5262">
      <w:pPr>
        <w:spacing w:after="0"/>
      </w:pPr>
    </w:p>
    <w:p w:rsidR="00065BFA" w:rsidRDefault="00065BFA" w:rsidP="00CA5262">
      <w:pPr>
        <w:spacing w:after="0"/>
      </w:pPr>
    </w:p>
    <w:p w:rsidR="00065BFA" w:rsidRDefault="00065BFA" w:rsidP="00CA5262">
      <w:pPr>
        <w:spacing w:after="0"/>
      </w:pPr>
    </w:p>
    <w:p w:rsidR="002E150A" w:rsidRDefault="00590660" w:rsidP="00CA5262">
      <w:pPr>
        <w:spacing w:after="0"/>
      </w:pPr>
      <w:r>
        <w:lastRenderedPageBreak/>
        <w:t>East</w:t>
      </w:r>
    </w:p>
    <w:p w:rsidR="00590660" w:rsidRDefault="00573F79" w:rsidP="00CA5262">
      <w:pPr>
        <w:spacing w:after="0"/>
      </w:pPr>
      <w:r>
        <w:t>Traditional the East</w:t>
      </w:r>
      <w:r w:rsidR="00A0725A">
        <w:t xml:space="preserve"> (yellow)</w:t>
      </w:r>
      <w:r>
        <w:t xml:space="preserve"> is the direction of spring, the future, rebirth, the spiritual part of being.  In this section we address o</w:t>
      </w:r>
      <w:r w:rsidR="00590660">
        <w:t>ne of the largest issues</w:t>
      </w:r>
      <w:r w:rsidR="00F75C96">
        <w:t xml:space="preserve"> addressed by the TRC </w:t>
      </w:r>
      <w:r>
        <w:t xml:space="preserve">which is </w:t>
      </w:r>
      <w:r w:rsidR="00524BEF">
        <w:t xml:space="preserve">the </w:t>
      </w:r>
      <w:r w:rsidR="00F75C96">
        <w:t>decolonization of structures and organization</w:t>
      </w:r>
      <w:r>
        <w:t>s</w:t>
      </w:r>
      <w:r w:rsidR="00F75C96">
        <w:t xml:space="preserve"> to allow First Nation people the ability to access services in </w:t>
      </w:r>
      <w:r>
        <w:t>a way that was free of barriers and recognizes their culture.</w:t>
      </w:r>
    </w:p>
    <w:p w:rsidR="00F75C96" w:rsidRDefault="00F75C96" w:rsidP="00CA5262">
      <w:pPr>
        <w:spacing w:after="0"/>
      </w:pPr>
    </w:p>
    <w:tbl>
      <w:tblPr>
        <w:tblStyle w:val="TableGrid"/>
        <w:tblW w:w="0" w:type="auto"/>
        <w:tblLook w:val="04A0" w:firstRow="1" w:lastRow="0" w:firstColumn="1" w:lastColumn="0" w:noHBand="0" w:noVBand="1"/>
      </w:tblPr>
      <w:tblGrid>
        <w:gridCol w:w="3106"/>
        <w:gridCol w:w="3121"/>
        <w:gridCol w:w="3123"/>
      </w:tblGrid>
      <w:tr w:rsidR="00573F79" w:rsidTr="00F75C96">
        <w:tc>
          <w:tcPr>
            <w:tcW w:w="3192" w:type="dxa"/>
          </w:tcPr>
          <w:p w:rsidR="00573F79" w:rsidRDefault="00573F79" w:rsidP="00203ED1">
            <w:r>
              <w:t>Activity</w:t>
            </w:r>
          </w:p>
        </w:tc>
        <w:tc>
          <w:tcPr>
            <w:tcW w:w="3192" w:type="dxa"/>
          </w:tcPr>
          <w:p w:rsidR="00573F79" w:rsidRDefault="00573F79" w:rsidP="00203ED1">
            <w:r>
              <w:t xml:space="preserve">Call to Action </w:t>
            </w:r>
          </w:p>
        </w:tc>
        <w:tc>
          <w:tcPr>
            <w:tcW w:w="3192" w:type="dxa"/>
          </w:tcPr>
          <w:p w:rsidR="00573F79" w:rsidRDefault="00573F79" w:rsidP="00203ED1">
            <w:r>
              <w:t>Means</w:t>
            </w:r>
          </w:p>
        </w:tc>
      </w:tr>
      <w:tr w:rsidR="00F75C96" w:rsidTr="00F75C96">
        <w:tc>
          <w:tcPr>
            <w:tcW w:w="3192" w:type="dxa"/>
          </w:tcPr>
          <w:p w:rsidR="00F75C96" w:rsidRDefault="00524BEF" w:rsidP="00CA5262">
            <w:r>
              <w:t>Share best practices of</w:t>
            </w:r>
            <w:r w:rsidR="00F75C96">
              <w:t xml:space="preserve"> the public library as a community hub to support awareness of cultural diversity</w:t>
            </w:r>
          </w:p>
        </w:tc>
        <w:tc>
          <w:tcPr>
            <w:tcW w:w="3192" w:type="dxa"/>
          </w:tcPr>
          <w:p w:rsidR="00F75C96" w:rsidRDefault="007C0CD0" w:rsidP="00CA5262">
            <w:r>
              <w:t>To promote education regarding diversity</w:t>
            </w:r>
          </w:p>
        </w:tc>
        <w:tc>
          <w:tcPr>
            <w:tcW w:w="3192" w:type="dxa"/>
          </w:tcPr>
          <w:p w:rsidR="00F75C96" w:rsidRDefault="009456EA" w:rsidP="00CA5262">
            <w:r>
              <w:t xml:space="preserve">Through advisory services and training share best practices with libraries </w:t>
            </w:r>
          </w:p>
        </w:tc>
      </w:tr>
      <w:tr w:rsidR="00F75C96" w:rsidTr="00F75C96">
        <w:tc>
          <w:tcPr>
            <w:tcW w:w="3192" w:type="dxa"/>
          </w:tcPr>
          <w:p w:rsidR="00F75C96" w:rsidRDefault="008D7DBD" w:rsidP="008D7DBD">
            <w:r>
              <w:t>Promote w</w:t>
            </w:r>
            <w:r w:rsidR="00F75C96">
              <w:t>orkplace diversity hiring</w:t>
            </w:r>
            <w:r>
              <w:t xml:space="preserve"> in libraries </w:t>
            </w:r>
          </w:p>
        </w:tc>
        <w:tc>
          <w:tcPr>
            <w:tcW w:w="3192" w:type="dxa"/>
          </w:tcPr>
          <w:p w:rsidR="00F75C96" w:rsidRDefault="008D7DBD" w:rsidP="00CA5262">
            <w:r>
              <w:t>Call to Action #7</w:t>
            </w:r>
          </w:p>
        </w:tc>
        <w:tc>
          <w:tcPr>
            <w:tcW w:w="3192" w:type="dxa"/>
          </w:tcPr>
          <w:p w:rsidR="00F75C96" w:rsidRDefault="005E0E0F" w:rsidP="00CA5262">
            <w:r>
              <w:t>Providing recruitment support materials (job descriptions)</w:t>
            </w:r>
          </w:p>
        </w:tc>
      </w:tr>
      <w:tr w:rsidR="008D7DBD" w:rsidTr="00F75C96">
        <w:tc>
          <w:tcPr>
            <w:tcW w:w="3192" w:type="dxa"/>
          </w:tcPr>
          <w:p w:rsidR="008D7DBD" w:rsidRDefault="008D7DBD" w:rsidP="008D7DBD">
            <w:r>
              <w:t>Encourage job shadowing between Municipal and First Nation libraries to promote understanding</w:t>
            </w:r>
          </w:p>
          <w:p w:rsidR="0074596B" w:rsidRDefault="0074596B" w:rsidP="008D7DBD"/>
        </w:tc>
        <w:tc>
          <w:tcPr>
            <w:tcW w:w="3192" w:type="dxa"/>
          </w:tcPr>
          <w:p w:rsidR="008D7DBD" w:rsidRDefault="00A0725A" w:rsidP="00CA5262">
            <w:r>
              <w:t xml:space="preserve">Call to Action </w:t>
            </w:r>
            <w:r w:rsidR="00524BEF">
              <w:t>#</w:t>
            </w:r>
            <w:r w:rsidR="008D7DBD">
              <w:t>7</w:t>
            </w:r>
          </w:p>
        </w:tc>
        <w:tc>
          <w:tcPr>
            <w:tcW w:w="3192" w:type="dxa"/>
          </w:tcPr>
          <w:p w:rsidR="008D7DBD" w:rsidRDefault="005E0E0F" w:rsidP="00CA5262">
            <w:r>
              <w:t>Coordinating mentorship programs</w:t>
            </w:r>
          </w:p>
        </w:tc>
      </w:tr>
      <w:tr w:rsidR="00F75C96" w:rsidTr="00F75C96">
        <w:tc>
          <w:tcPr>
            <w:tcW w:w="3192" w:type="dxa"/>
          </w:tcPr>
          <w:p w:rsidR="00F75C96" w:rsidRDefault="00F75C96" w:rsidP="00CA5262">
            <w:r>
              <w:t>Support the decolonization of access and classification</w:t>
            </w:r>
            <w:r w:rsidR="005E0E0F">
              <w:t xml:space="preserve"> systems</w:t>
            </w:r>
          </w:p>
        </w:tc>
        <w:tc>
          <w:tcPr>
            <w:tcW w:w="3192" w:type="dxa"/>
          </w:tcPr>
          <w:p w:rsidR="00F75C96" w:rsidRDefault="00367511" w:rsidP="00CA5262">
            <w:r>
              <w:t xml:space="preserve">CFLA T&amp;R Committee General Recommendation </w:t>
            </w:r>
            <w:r w:rsidR="00113233">
              <w:t>#5</w:t>
            </w:r>
          </w:p>
        </w:tc>
        <w:tc>
          <w:tcPr>
            <w:tcW w:w="3192" w:type="dxa"/>
          </w:tcPr>
          <w:p w:rsidR="00F75C96" w:rsidRDefault="008D7DBD" w:rsidP="00CA5262">
            <w:r>
              <w:t>Monitor broader initiatives and disseminate information to clients.  Be open to assisting FN clients with alternative access systems in FN libraries. Discuss at networking meeting and facilitate a client committee to make recommendations if requested</w:t>
            </w:r>
          </w:p>
        </w:tc>
      </w:tr>
      <w:tr w:rsidR="00F75C96" w:rsidTr="00F75C96">
        <w:tc>
          <w:tcPr>
            <w:tcW w:w="3192" w:type="dxa"/>
          </w:tcPr>
          <w:p w:rsidR="00F75C96" w:rsidRDefault="00F75C96" w:rsidP="00524BEF">
            <w:r>
              <w:t>Support the decol</w:t>
            </w:r>
            <w:r w:rsidR="00524BEF">
              <w:t>onization of library space i</w:t>
            </w:r>
            <w:r>
              <w:t>n facility design</w:t>
            </w:r>
          </w:p>
        </w:tc>
        <w:tc>
          <w:tcPr>
            <w:tcW w:w="3192" w:type="dxa"/>
          </w:tcPr>
          <w:p w:rsidR="00F75C96" w:rsidRDefault="00367511" w:rsidP="00CA5262">
            <w:r>
              <w:t xml:space="preserve">CFLA T&amp;R Committee General Recommendation </w:t>
            </w:r>
            <w:r w:rsidR="00113233">
              <w:t>#6</w:t>
            </w:r>
          </w:p>
        </w:tc>
        <w:tc>
          <w:tcPr>
            <w:tcW w:w="3192" w:type="dxa"/>
          </w:tcPr>
          <w:p w:rsidR="00F75C96" w:rsidRDefault="008D7DBD" w:rsidP="00CA5262">
            <w:r>
              <w:t>Continue to research this area and incorporate information into c</w:t>
            </w:r>
            <w:r w:rsidR="008F342E">
              <w:t>onsultations with First Nation c</w:t>
            </w:r>
            <w:r>
              <w:t>lients.</w:t>
            </w:r>
          </w:p>
        </w:tc>
      </w:tr>
      <w:tr w:rsidR="00F75C96" w:rsidTr="00F75C96">
        <w:tc>
          <w:tcPr>
            <w:tcW w:w="3192" w:type="dxa"/>
          </w:tcPr>
          <w:p w:rsidR="00F75C96" w:rsidRDefault="00F75C96" w:rsidP="00CA5262">
            <w:r>
              <w:t>Deve</w:t>
            </w:r>
            <w:r w:rsidR="00524BEF">
              <w:t>lop signage in local languages</w:t>
            </w:r>
          </w:p>
        </w:tc>
        <w:tc>
          <w:tcPr>
            <w:tcW w:w="3192" w:type="dxa"/>
          </w:tcPr>
          <w:p w:rsidR="00F75C96" w:rsidRDefault="00367511" w:rsidP="00CA5262">
            <w:r>
              <w:t xml:space="preserve">CFLA T&amp;R Committee General Recommendation </w:t>
            </w:r>
            <w:r w:rsidR="00113233">
              <w:t>#6</w:t>
            </w:r>
          </w:p>
        </w:tc>
        <w:tc>
          <w:tcPr>
            <w:tcW w:w="3192" w:type="dxa"/>
          </w:tcPr>
          <w:p w:rsidR="00F75C96" w:rsidRDefault="008D7DBD" w:rsidP="00CA5262">
            <w:r>
              <w:t>Create Signage templates in local languages  for standard library requirements and by request</w:t>
            </w:r>
          </w:p>
        </w:tc>
      </w:tr>
    </w:tbl>
    <w:p w:rsidR="00F75C96" w:rsidRDefault="00F75C96" w:rsidP="00CA5262">
      <w:pPr>
        <w:spacing w:after="0"/>
      </w:pPr>
    </w:p>
    <w:p w:rsidR="00A0725A" w:rsidRDefault="00A0725A" w:rsidP="00CA5262">
      <w:pPr>
        <w:spacing w:after="0"/>
      </w:pPr>
      <w:r>
        <w:t>South</w:t>
      </w:r>
    </w:p>
    <w:p w:rsidR="00A0725A" w:rsidRDefault="00A0725A" w:rsidP="00CA5262">
      <w:pPr>
        <w:spacing w:after="0"/>
      </w:pPr>
    </w:p>
    <w:p w:rsidR="00F75C96" w:rsidRDefault="00573F79" w:rsidP="00CA5262">
      <w:pPr>
        <w:spacing w:after="0"/>
      </w:pPr>
      <w:r>
        <w:t xml:space="preserve">The </w:t>
      </w:r>
      <w:r w:rsidR="00A0725A">
        <w:t>Red</w:t>
      </w:r>
      <w:r w:rsidR="00F75C96">
        <w:t xml:space="preserve"> sector of the wheel </w:t>
      </w:r>
      <w:r w:rsidR="005E0E0F">
        <w:t>is about s</w:t>
      </w:r>
      <w:r>
        <w:t xml:space="preserve">ummer, love and </w:t>
      </w:r>
      <w:r w:rsidR="006A2FF5">
        <w:t>relationships.</w:t>
      </w:r>
      <w:r>
        <w:t xml:space="preserve"> It represents the emotional pa</w:t>
      </w:r>
      <w:r w:rsidR="005E0E0F">
        <w:t>rt</w:t>
      </w:r>
      <w:r>
        <w:t xml:space="preserve"> of being.</w:t>
      </w:r>
      <w:r w:rsidR="006A2FF5">
        <w:t xml:space="preserve">  Relationships are at the heart of reconciliation.  Our plan deals with relationships with other organizations, between First Nation Libraries, between</w:t>
      </w:r>
      <w:r w:rsidR="004119D8">
        <w:t xml:space="preserve"> municipal </w:t>
      </w:r>
      <w:r w:rsidR="006A2FF5">
        <w:t>and First Nation Libraries and between this organization and our clients.</w:t>
      </w:r>
    </w:p>
    <w:p w:rsidR="00113233" w:rsidRDefault="00113233" w:rsidP="00CA5262">
      <w:pPr>
        <w:spacing w:after="0"/>
      </w:pPr>
    </w:p>
    <w:p w:rsidR="006A2FF5" w:rsidRDefault="006A2FF5" w:rsidP="00CA5262">
      <w:pPr>
        <w:spacing w:after="0"/>
      </w:pPr>
    </w:p>
    <w:tbl>
      <w:tblPr>
        <w:tblStyle w:val="TableGrid"/>
        <w:tblW w:w="0" w:type="auto"/>
        <w:tblLook w:val="04A0" w:firstRow="1" w:lastRow="0" w:firstColumn="1" w:lastColumn="0" w:noHBand="0" w:noVBand="1"/>
      </w:tblPr>
      <w:tblGrid>
        <w:gridCol w:w="3112"/>
        <w:gridCol w:w="3129"/>
        <w:gridCol w:w="3109"/>
      </w:tblGrid>
      <w:tr w:rsidR="00B71625" w:rsidTr="006A2FF5">
        <w:tc>
          <w:tcPr>
            <w:tcW w:w="3192" w:type="dxa"/>
          </w:tcPr>
          <w:p w:rsidR="00B71625" w:rsidRDefault="00B71625" w:rsidP="00203ED1">
            <w:r>
              <w:t>Activity</w:t>
            </w:r>
          </w:p>
        </w:tc>
        <w:tc>
          <w:tcPr>
            <w:tcW w:w="3192" w:type="dxa"/>
          </w:tcPr>
          <w:p w:rsidR="00B71625" w:rsidRDefault="00B71625" w:rsidP="00203ED1">
            <w:r>
              <w:t xml:space="preserve">Call to Action </w:t>
            </w:r>
          </w:p>
        </w:tc>
        <w:tc>
          <w:tcPr>
            <w:tcW w:w="3192" w:type="dxa"/>
          </w:tcPr>
          <w:p w:rsidR="00B71625" w:rsidRDefault="00B71625" w:rsidP="00203ED1">
            <w:r>
              <w:t>Means</w:t>
            </w:r>
          </w:p>
        </w:tc>
      </w:tr>
      <w:tr w:rsidR="006A2FF5" w:rsidTr="006A2FF5">
        <w:tc>
          <w:tcPr>
            <w:tcW w:w="3192" w:type="dxa"/>
          </w:tcPr>
          <w:p w:rsidR="006A2FF5" w:rsidRDefault="006A2FF5" w:rsidP="00CA5262">
            <w:r>
              <w:lastRenderedPageBreak/>
              <w:t>Identify best practices in municipal libraries f</w:t>
            </w:r>
            <w:r w:rsidR="008D7DBD">
              <w:t>or serving local indigenous pop</w:t>
            </w:r>
            <w:r>
              <w:t>ulations</w:t>
            </w:r>
          </w:p>
        </w:tc>
        <w:tc>
          <w:tcPr>
            <w:tcW w:w="3192" w:type="dxa"/>
          </w:tcPr>
          <w:p w:rsidR="006A2FF5" w:rsidRDefault="0033546D" w:rsidP="00CA5262">
            <w:r>
              <w:t xml:space="preserve">Call to Action </w:t>
            </w:r>
            <w:r w:rsidR="005E0E0F">
              <w:t>#</w:t>
            </w:r>
            <w:r>
              <w:t>57</w:t>
            </w:r>
          </w:p>
        </w:tc>
        <w:tc>
          <w:tcPr>
            <w:tcW w:w="3192" w:type="dxa"/>
          </w:tcPr>
          <w:p w:rsidR="006A2FF5" w:rsidRDefault="008D7DBD" w:rsidP="00CA5262">
            <w:r>
              <w:t>Compile best practices and make available to all libraries</w:t>
            </w:r>
          </w:p>
        </w:tc>
      </w:tr>
      <w:tr w:rsidR="006A2FF5" w:rsidTr="006A2FF5">
        <w:tc>
          <w:tcPr>
            <w:tcW w:w="3192" w:type="dxa"/>
          </w:tcPr>
          <w:p w:rsidR="006A2FF5" w:rsidRDefault="006A2FF5" w:rsidP="00CA5262">
            <w:r>
              <w:t>Develop a resource for municipal librarians to learn about First Nation governance</w:t>
            </w:r>
          </w:p>
        </w:tc>
        <w:tc>
          <w:tcPr>
            <w:tcW w:w="3192" w:type="dxa"/>
          </w:tcPr>
          <w:p w:rsidR="006A2FF5" w:rsidRDefault="0033546D" w:rsidP="00CA5262">
            <w:r>
              <w:t xml:space="preserve">Call to Action </w:t>
            </w:r>
            <w:r w:rsidR="005E0E0F">
              <w:t>#</w:t>
            </w:r>
            <w:r>
              <w:t>57</w:t>
            </w:r>
          </w:p>
        </w:tc>
        <w:tc>
          <w:tcPr>
            <w:tcW w:w="3192" w:type="dxa"/>
          </w:tcPr>
          <w:p w:rsidR="006A2FF5" w:rsidRDefault="008D7DBD" w:rsidP="00CA5262">
            <w:r>
              <w:t>Tip Sheet created</w:t>
            </w:r>
          </w:p>
        </w:tc>
      </w:tr>
      <w:tr w:rsidR="006A2FF5" w:rsidTr="006A2FF5">
        <w:tc>
          <w:tcPr>
            <w:tcW w:w="3192" w:type="dxa"/>
          </w:tcPr>
          <w:p w:rsidR="006A2FF5" w:rsidRDefault="006A2FF5" w:rsidP="00CA5262">
            <w:r>
              <w:t>Provide a platform to enable libraries to share stories</w:t>
            </w:r>
          </w:p>
        </w:tc>
        <w:tc>
          <w:tcPr>
            <w:tcW w:w="3192" w:type="dxa"/>
          </w:tcPr>
          <w:p w:rsidR="006A2FF5" w:rsidRDefault="0033546D" w:rsidP="00CA5262">
            <w:r>
              <w:t xml:space="preserve">Call to Action </w:t>
            </w:r>
            <w:r w:rsidR="005E0E0F">
              <w:t>#</w:t>
            </w:r>
            <w:r>
              <w:t>57</w:t>
            </w:r>
          </w:p>
        </w:tc>
        <w:tc>
          <w:tcPr>
            <w:tcW w:w="3192" w:type="dxa"/>
          </w:tcPr>
          <w:p w:rsidR="006A2FF5" w:rsidRDefault="00367511" w:rsidP="00CA5262">
            <w:r>
              <w:t>Platform to be created</w:t>
            </w:r>
          </w:p>
        </w:tc>
      </w:tr>
      <w:tr w:rsidR="006A2FF5" w:rsidTr="006A2FF5">
        <w:tc>
          <w:tcPr>
            <w:tcW w:w="3192" w:type="dxa"/>
          </w:tcPr>
          <w:p w:rsidR="006A2FF5" w:rsidRDefault="006A2FF5" w:rsidP="00CA5262">
            <w:r>
              <w:t xml:space="preserve">Share tips to encourage municipal libraries to develop </w:t>
            </w:r>
            <w:r w:rsidR="00524BEF">
              <w:t>partnerships with First Nation public l</w:t>
            </w:r>
            <w:r>
              <w:t>ibraries.</w:t>
            </w:r>
          </w:p>
        </w:tc>
        <w:tc>
          <w:tcPr>
            <w:tcW w:w="3192" w:type="dxa"/>
          </w:tcPr>
          <w:p w:rsidR="006A2FF5" w:rsidRDefault="0033546D" w:rsidP="00CA5262">
            <w:r>
              <w:t xml:space="preserve">Call to Action </w:t>
            </w:r>
            <w:r w:rsidR="005E0E0F">
              <w:t>#</w:t>
            </w:r>
            <w:r>
              <w:t>57</w:t>
            </w:r>
          </w:p>
        </w:tc>
        <w:tc>
          <w:tcPr>
            <w:tcW w:w="3192" w:type="dxa"/>
          </w:tcPr>
          <w:p w:rsidR="006A2FF5" w:rsidRDefault="008D7DBD" w:rsidP="00CA5262">
            <w:r>
              <w:t>Tip Sheet created</w:t>
            </w:r>
          </w:p>
        </w:tc>
      </w:tr>
      <w:tr w:rsidR="006A2FF5" w:rsidTr="006A2FF5">
        <w:tc>
          <w:tcPr>
            <w:tcW w:w="3192" w:type="dxa"/>
          </w:tcPr>
          <w:p w:rsidR="006A2FF5" w:rsidRDefault="006A2FF5" w:rsidP="00CA5262">
            <w:r>
              <w:t xml:space="preserve">Share </w:t>
            </w:r>
            <w:proofErr w:type="spellStart"/>
            <w:r>
              <w:t>Maziniigan</w:t>
            </w:r>
            <w:proofErr w:type="spellEnd"/>
            <w:r>
              <w:t xml:space="preserve"> with municipal libraries to raise awareness of First Nation libraries</w:t>
            </w:r>
          </w:p>
        </w:tc>
        <w:tc>
          <w:tcPr>
            <w:tcW w:w="3192" w:type="dxa"/>
          </w:tcPr>
          <w:p w:rsidR="006A2FF5" w:rsidRDefault="0033546D" w:rsidP="00CA5262">
            <w:r>
              <w:t xml:space="preserve">Call to Action </w:t>
            </w:r>
            <w:r w:rsidR="005E0E0F">
              <w:t>#</w:t>
            </w:r>
            <w:r>
              <w:t>57</w:t>
            </w:r>
          </w:p>
        </w:tc>
        <w:tc>
          <w:tcPr>
            <w:tcW w:w="3192" w:type="dxa"/>
          </w:tcPr>
          <w:p w:rsidR="006A2FF5" w:rsidRDefault="008D7DBD" w:rsidP="00CA5262">
            <w:r>
              <w:t>Next issue released to all libraries</w:t>
            </w:r>
          </w:p>
        </w:tc>
      </w:tr>
      <w:tr w:rsidR="006A2FF5" w:rsidTr="006A2FF5">
        <w:tc>
          <w:tcPr>
            <w:tcW w:w="3192" w:type="dxa"/>
          </w:tcPr>
          <w:p w:rsidR="006A2FF5" w:rsidRDefault="006A2FF5" w:rsidP="00CA5262">
            <w:r>
              <w:t>Encourage Fir</w:t>
            </w:r>
            <w:r w:rsidR="00524BEF">
              <w:t>st Nation and m</w:t>
            </w:r>
            <w:r w:rsidR="008D7DBD">
              <w:t>unicipal librari</w:t>
            </w:r>
            <w:r>
              <w:t>ans to leverage conference as a</w:t>
            </w:r>
            <w:r w:rsidR="0033546D">
              <w:t>n opportunity to build relationships</w:t>
            </w:r>
          </w:p>
          <w:p w:rsidR="008D7DBD" w:rsidRDefault="008D7DBD" w:rsidP="00CA5262"/>
        </w:tc>
        <w:tc>
          <w:tcPr>
            <w:tcW w:w="3192" w:type="dxa"/>
          </w:tcPr>
          <w:p w:rsidR="006A2FF5" w:rsidRDefault="00113233" w:rsidP="00CA5262">
            <w:r>
              <w:t>CFLA T&amp;R Committee</w:t>
            </w:r>
            <w:r w:rsidR="00367511">
              <w:t xml:space="preserve"> General Recommendation</w:t>
            </w:r>
            <w:r>
              <w:t xml:space="preserve"> #7</w:t>
            </w:r>
          </w:p>
        </w:tc>
        <w:tc>
          <w:tcPr>
            <w:tcW w:w="3192" w:type="dxa"/>
          </w:tcPr>
          <w:p w:rsidR="006A2FF5" w:rsidRDefault="008D7DBD" w:rsidP="00CA5262">
            <w:r>
              <w:t>Promotion to libraries</w:t>
            </w:r>
          </w:p>
          <w:p w:rsidR="008D7DBD" w:rsidRDefault="008D7DBD" w:rsidP="00CA5262"/>
          <w:p w:rsidR="008D7DBD" w:rsidRDefault="008D7DBD" w:rsidP="00CA5262"/>
        </w:tc>
      </w:tr>
      <w:tr w:rsidR="006A2FF5" w:rsidTr="006A2FF5">
        <w:tc>
          <w:tcPr>
            <w:tcW w:w="3192" w:type="dxa"/>
          </w:tcPr>
          <w:p w:rsidR="006A2FF5" w:rsidRDefault="006A2FF5" w:rsidP="00CA5262">
            <w:r>
              <w:t>Promote sharing of First Nation collect</w:t>
            </w:r>
            <w:r w:rsidR="00524BEF">
              <w:t>ions housed in m</w:t>
            </w:r>
            <w:r>
              <w:t>unicipal libraries with the First Nation</w:t>
            </w:r>
            <w:r w:rsidR="00524BEF">
              <w:t xml:space="preserve"> c</w:t>
            </w:r>
            <w:r w:rsidR="000A0DD7">
              <w:t>ommunities</w:t>
            </w:r>
          </w:p>
        </w:tc>
        <w:tc>
          <w:tcPr>
            <w:tcW w:w="3192" w:type="dxa"/>
          </w:tcPr>
          <w:p w:rsidR="006A2FF5" w:rsidRDefault="006A2FF5" w:rsidP="00CA5262">
            <w:r>
              <w:t>Call to Action #69</w:t>
            </w:r>
          </w:p>
        </w:tc>
        <w:tc>
          <w:tcPr>
            <w:tcW w:w="3192" w:type="dxa"/>
          </w:tcPr>
          <w:p w:rsidR="006A2FF5" w:rsidRDefault="008D7DBD" w:rsidP="00CA5262">
            <w:r>
              <w:t>Develop a survey of FN materials available in libraries</w:t>
            </w:r>
          </w:p>
          <w:p w:rsidR="008D7DBD" w:rsidRDefault="008D7DBD" w:rsidP="00CA5262"/>
          <w:p w:rsidR="008D7DBD" w:rsidRDefault="008D7DBD" w:rsidP="00CA5262">
            <w:r>
              <w:t>Review results and discuss plan with FN librarians and non-First Nation Librarians how to share information</w:t>
            </w:r>
          </w:p>
        </w:tc>
      </w:tr>
      <w:tr w:rsidR="006A2FF5" w:rsidTr="006A2FF5">
        <w:tc>
          <w:tcPr>
            <w:tcW w:w="3192" w:type="dxa"/>
          </w:tcPr>
          <w:p w:rsidR="006A2FF5" w:rsidRDefault="00524BEF" w:rsidP="00524BEF">
            <w:r>
              <w:t xml:space="preserve">Working with SOLS, </w:t>
            </w:r>
            <w:r w:rsidR="006A2FF5">
              <w:t>assist FN libraries wit</w:t>
            </w:r>
            <w:r>
              <w:t>h</w:t>
            </w:r>
            <w:r w:rsidR="006A2FF5">
              <w:t xml:space="preserve"> coordination of </w:t>
            </w:r>
            <w:r>
              <w:t xml:space="preserve">provincial </w:t>
            </w:r>
            <w:r w:rsidR="006A2FF5">
              <w:t>projects: FN Strategic Action Group, First Nation Public Library Community and FN Community Reads</w:t>
            </w:r>
          </w:p>
        </w:tc>
        <w:tc>
          <w:tcPr>
            <w:tcW w:w="3192" w:type="dxa"/>
          </w:tcPr>
          <w:p w:rsidR="006A2FF5" w:rsidRDefault="00367511" w:rsidP="00CA5262">
            <w:r>
              <w:t xml:space="preserve">CFLA T&amp;R Committee General Recommendation </w:t>
            </w:r>
            <w:r w:rsidR="0033546D">
              <w:t>#7</w:t>
            </w:r>
          </w:p>
        </w:tc>
        <w:tc>
          <w:tcPr>
            <w:tcW w:w="3192" w:type="dxa"/>
          </w:tcPr>
          <w:p w:rsidR="006A2FF5" w:rsidRDefault="008D7DBD" w:rsidP="00CA5262">
            <w:r>
              <w:t>Continuation of existing committees</w:t>
            </w:r>
          </w:p>
        </w:tc>
      </w:tr>
      <w:tr w:rsidR="006A2FF5" w:rsidTr="006A2FF5">
        <w:tc>
          <w:tcPr>
            <w:tcW w:w="3192" w:type="dxa"/>
          </w:tcPr>
          <w:p w:rsidR="006A2FF5" w:rsidRDefault="006A2FF5" w:rsidP="00CA5262">
            <w:r>
              <w:t>Provide networking opportunities for FN sharing</w:t>
            </w:r>
            <w:r w:rsidR="00113233">
              <w:t xml:space="preserve"> and collaboration</w:t>
            </w:r>
          </w:p>
        </w:tc>
        <w:tc>
          <w:tcPr>
            <w:tcW w:w="3192" w:type="dxa"/>
          </w:tcPr>
          <w:p w:rsidR="006A2FF5" w:rsidRDefault="00367511" w:rsidP="00CA5262">
            <w:r>
              <w:t xml:space="preserve">CFLA T&amp;R Committee General Recommendation </w:t>
            </w:r>
            <w:r w:rsidR="0033546D">
              <w:t>#7</w:t>
            </w:r>
          </w:p>
        </w:tc>
        <w:tc>
          <w:tcPr>
            <w:tcW w:w="3192" w:type="dxa"/>
          </w:tcPr>
          <w:p w:rsidR="006A2FF5" w:rsidRDefault="008D7DBD" w:rsidP="00071A06">
            <w:r>
              <w:t xml:space="preserve">Continuation of Gathering and </w:t>
            </w:r>
            <w:r w:rsidR="00524BEF">
              <w:t>c</w:t>
            </w:r>
            <w:r w:rsidR="00071A06">
              <w:t>onference meetings for First Nati</w:t>
            </w:r>
            <w:r w:rsidR="00524BEF">
              <w:t>on c</w:t>
            </w:r>
            <w:r w:rsidR="00071A06">
              <w:t>lients</w:t>
            </w:r>
          </w:p>
        </w:tc>
      </w:tr>
    </w:tbl>
    <w:p w:rsidR="006A2FF5" w:rsidRDefault="006A2FF5" w:rsidP="00CA5262">
      <w:pPr>
        <w:spacing w:after="0"/>
      </w:pPr>
    </w:p>
    <w:p w:rsidR="00A0725A" w:rsidRDefault="00A0725A" w:rsidP="00CA5262">
      <w:pPr>
        <w:spacing w:after="0"/>
      </w:pPr>
      <w:r>
        <w:t>West</w:t>
      </w:r>
    </w:p>
    <w:p w:rsidR="006A2FF5" w:rsidRDefault="00A0725A" w:rsidP="00CA5262">
      <w:pPr>
        <w:spacing w:after="0"/>
      </w:pPr>
      <w:r>
        <w:t xml:space="preserve">The </w:t>
      </w:r>
      <w:r w:rsidR="00573F79">
        <w:t xml:space="preserve">Black </w:t>
      </w:r>
      <w:r w:rsidR="000A0DD7">
        <w:t>sect</w:t>
      </w:r>
      <w:r>
        <w:t xml:space="preserve">or represents </w:t>
      </w:r>
      <w:r w:rsidR="00573F79">
        <w:t>fall and the physical side of being.  In this case</w:t>
      </w:r>
      <w:r w:rsidR="000A0DD7">
        <w:t>,</w:t>
      </w:r>
      <w:r w:rsidR="00573F79">
        <w:t xml:space="preserve"> it is the area of best practice.  It looks at the things that work and how </w:t>
      </w:r>
      <w:r w:rsidR="000A0DD7">
        <w:t>we can use them to move forward.</w:t>
      </w:r>
    </w:p>
    <w:p w:rsidR="009456EA" w:rsidRDefault="009456EA" w:rsidP="00CA5262">
      <w:pPr>
        <w:spacing w:after="0"/>
      </w:pPr>
    </w:p>
    <w:tbl>
      <w:tblPr>
        <w:tblStyle w:val="TableGrid"/>
        <w:tblW w:w="0" w:type="auto"/>
        <w:tblLook w:val="04A0" w:firstRow="1" w:lastRow="0" w:firstColumn="1" w:lastColumn="0" w:noHBand="0" w:noVBand="1"/>
      </w:tblPr>
      <w:tblGrid>
        <w:gridCol w:w="3124"/>
        <w:gridCol w:w="3102"/>
        <w:gridCol w:w="3124"/>
      </w:tblGrid>
      <w:tr w:rsidR="00B71625" w:rsidTr="009456EA">
        <w:tc>
          <w:tcPr>
            <w:tcW w:w="3192" w:type="dxa"/>
          </w:tcPr>
          <w:p w:rsidR="00B71625" w:rsidRDefault="00B71625" w:rsidP="00203ED1">
            <w:r>
              <w:t>Activity</w:t>
            </w:r>
          </w:p>
        </w:tc>
        <w:tc>
          <w:tcPr>
            <w:tcW w:w="3192" w:type="dxa"/>
          </w:tcPr>
          <w:p w:rsidR="00B71625" w:rsidRDefault="00B71625" w:rsidP="00203ED1">
            <w:r>
              <w:t xml:space="preserve">Call to Action </w:t>
            </w:r>
          </w:p>
        </w:tc>
        <w:tc>
          <w:tcPr>
            <w:tcW w:w="3192" w:type="dxa"/>
          </w:tcPr>
          <w:p w:rsidR="00B71625" w:rsidRDefault="00B71625" w:rsidP="00203ED1">
            <w:r>
              <w:t>Means</w:t>
            </w:r>
          </w:p>
        </w:tc>
      </w:tr>
      <w:tr w:rsidR="009456EA" w:rsidTr="009456EA">
        <w:tc>
          <w:tcPr>
            <w:tcW w:w="3192" w:type="dxa"/>
          </w:tcPr>
          <w:p w:rsidR="009456EA" w:rsidRDefault="009456EA" w:rsidP="00CA5262">
            <w:r>
              <w:t>Share best practices for diversity and Cultural Training</w:t>
            </w:r>
          </w:p>
        </w:tc>
        <w:tc>
          <w:tcPr>
            <w:tcW w:w="3192" w:type="dxa"/>
          </w:tcPr>
          <w:p w:rsidR="009456EA" w:rsidRDefault="0033546D" w:rsidP="00CA5262">
            <w:r>
              <w:t xml:space="preserve">Call to Action </w:t>
            </w:r>
            <w:r w:rsidR="000A0DD7">
              <w:t>#</w:t>
            </w:r>
            <w:r>
              <w:t>57</w:t>
            </w:r>
          </w:p>
        </w:tc>
        <w:tc>
          <w:tcPr>
            <w:tcW w:w="3192" w:type="dxa"/>
          </w:tcPr>
          <w:p w:rsidR="009456EA" w:rsidRDefault="00071A06" w:rsidP="00CA5262">
            <w:r>
              <w:t>Review best practices and identify appropriate training available</w:t>
            </w:r>
          </w:p>
        </w:tc>
      </w:tr>
      <w:tr w:rsidR="009456EA" w:rsidTr="009456EA">
        <w:tc>
          <w:tcPr>
            <w:tcW w:w="3192" w:type="dxa"/>
          </w:tcPr>
          <w:p w:rsidR="009456EA" w:rsidRDefault="009456EA" w:rsidP="00CA5262">
            <w:r>
              <w:lastRenderedPageBreak/>
              <w:t>Provide Portfolio as a means of digitizing FN collection</w:t>
            </w:r>
          </w:p>
        </w:tc>
        <w:tc>
          <w:tcPr>
            <w:tcW w:w="3192" w:type="dxa"/>
          </w:tcPr>
          <w:p w:rsidR="009456EA" w:rsidRDefault="0033546D" w:rsidP="00CA5262">
            <w:r>
              <w:t>Call to Action #14</w:t>
            </w:r>
          </w:p>
        </w:tc>
        <w:tc>
          <w:tcPr>
            <w:tcW w:w="3192" w:type="dxa"/>
          </w:tcPr>
          <w:p w:rsidR="009456EA" w:rsidRDefault="00071A06" w:rsidP="00CA5262">
            <w:r>
              <w:t>Finalize plan to provide Portfolio to FN clients</w:t>
            </w:r>
          </w:p>
        </w:tc>
      </w:tr>
      <w:tr w:rsidR="009456EA" w:rsidTr="009456EA">
        <w:tc>
          <w:tcPr>
            <w:tcW w:w="3192" w:type="dxa"/>
          </w:tcPr>
          <w:p w:rsidR="009456EA" w:rsidRDefault="009456EA" w:rsidP="00CA5262">
            <w:r>
              <w:t>Provide collection development lists of historically accurate material and assist with evaluation</w:t>
            </w:r>
            <w:r w:rsidR="00524BEF">
              <w:t xml:space="preserve"> of existing FN collections in public l</w:t>
            </w:r>
            <w:r>
              <w:t>ibraries</w:t>
            </w:r>
          </w:p>
        </w:tc>
        <w:tc>
          <w:tcPr>
            <w:tcW w:w="3192" w:type="dxa"/>
          </w:tcPr>
          <w:p w:rsidR="009456EA" w:rsidRDefault="00573F79" w:rsidP="00CA5262">
            <w:r>
              <w:t>Call to Action #10</w:t>
            </w:r>
          </w:p>
        </w:tc>
        <w:tc>
          <w:tcPr>
            <w:tcW w:w="3192" w:type="dxa"/>
          </w:tcPr>
          <w:p w:rsidR="009456EA" w:rsidRDefault="00071A06" w:rsidP="00CA5262">
            <w:r>
              <w:t>Research and develop lists and make available through website.</w:t>
            </w:r>
          </w:p>
          <w:p w:rsidR="00071A06" w:rsidRDefault="00071A06" w:rsidP="00CA5262"/>
          <w:p w:rsidR="00071A06" w:rsidRDefault="00071A06" w:rsidP="00CA5262">
            <w:r>
              <w:t>By request</w:t>
            </w:r>
            <w:r w:rsidR="00524BEF">
              <w:t>,</w:t>
            </w:r>
            <w:r>
              <w:t xml:space="preserve"> work with libraries on assessing First Nation materials.</w:t>
            </w:r>
          </w:p>
        </w:tc>
      </w:tr>
      <w:tr w:rsidR="009456EA" w:rsidTr="009456EA">
        <w:tc>
          <w:tcPr>
            <w:tcW w:w="3192" w:type="dxa"/>
          </w:tcPr>
          <w:p w:rsidR="009456EA" w:rsidRDefault="00524BEF" w:rsidP="00CA5262">
            <w:r>
              <w:t>Invite an indigenous e</w:t>
            </w:r>
            <w:r w:rsidR="000A0DD7">
              <w:t>lder to</w:t>
            </w:r>
            <w:r w:rsidR="009456EA">
              <w:t xml:space="preserve"> FN e</w:t>
            </w:r>
            <w:r w:rsidR="00071A06">
              <w:t>vents and the annual conference.</w:t>
            </w:r>
          </w:p>
        </w:tc>
        <w:tc>
          <w:tcPr>
            <w:tcW w:w="3192" w:type="dxa"/>
          </w:tcPr>
          <w:p w:rsidR="009456EA" w:rsidRDefault="0033546D" w:rsidP="00CA5262">
            <w:r>
              <w:t>Call to Action #14</w:t>
            </w:r>
          </w:p>
        </w:tc>
        <w:tc>
          <w:tcPr>
            <w:tcW w:w="3192" w:type="dxa"/>
          </w:tcPr>
          <w:p w:rsidR="009456EA" w:rsidRDefault="00071A06" w:rsidP="00CA5262">
            <w:r>
              <w:t>Continuation of current practice</w:t>
            </w:r>
          </w:p>
        </w:tc>
      </w:tr>
    </w:tbl>
    <w:p w:rsidR="009456EA" w:rsidRDefault="009456EA" w:rsidP="00CA5262">
      <w:pPr>
        <w:spacing w:after="0"/>
      </w:pPr>
    </w:p>
    <w:p w:rsidR="005361CA" w:rsidRDefault="005361CA" w:rsidP="00CA5262">
      <w:pPr>
        <w:spacing w:after="0"/>
      </w:pPr>
      <w:r>
        <w:t>This plan is a living document which needs to be revised from time to time.  As Canada continues on the road to reconciliation there will be changes to perspectives and t</w:t>
      </w:r>
      <w:r w:rsidR="00A47CA4">
        <w:t>o structures.  As things change</w:t>
      </w:r>
      <w:r>
        <w:t xml:space="preserve"> and the needs of our clients develop and change</w:t>
      </w:r>
      <w:r w:rsidR="00A47CA4">
        <w:t>,</w:t>
      </w:r>
      <w:r>
        <w:t xml:space="preserve"> it will be necessary to revise this plan.  At minimum it should be reviewed annually.</w:t>
      </w:r>
    </w:p>
    <w:p w:rsidR="005361CA" w:rsidRDefault="005361CA" w:rsidP="00CA5262">
      <w:pPr>
        <w:spacing w:after="0"/>
      </w:pPr>
    </w:p>
    <w:p w:rsidR="005361CA" w:rsidRDefault="005361CA" w:rsidP="00CA5262">
      <w:pPr>
        <w:spacing w:after="0"/>
      </w:pPr>
      <w:r>
        <w:t>This plan is not meant to be a comprehensive list of our services, but rather an attempt to look at key initiatives (old and new) through the lens of this reconciliation journey.</w:t>
      </w:r>
    </w:p>
    <w:sectPr w:rsidR="005361CA" w:rsidSect="00CA2B93">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B8" w:rsidRDefault="00BE38B8" w:rsidP="00CA2B93">
      <w:pPr>
        <w:spacing w:after="0" w:line="240" w:lineRule="auto"/>
      </w:pPr>
      <w:r>
        <w:separator/>
      </w:r>
    </w:p>
  </w:endnote>
  <w:endnote w:type="continuationSeparator" w:id="0">
    <w:p w:rsidR="00BE38B8" w:rsidRDefault="00BE38B8" w:rsidP="00CA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93" w:rsidRDefault="00CA2B93">
    <w:pPr>
      <w:pStyle w:val="Footer"/>
      <w:jc w:val="right"/>
    </w:pPr>
  </w:p>
  <w:p w:rsidR="00CA2B93" w:rsidRDefault="00CA2B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B8" w:rsidRDefault="00BE38B8" w:rsidP="00CA2B93">
      <w:pPr>
        <w:spacing w:after="0" w:line="240" w:lineRule="auto"/>
      </w:pPr>
      <w:r>
        <w:separator/>
      </w:r>
    </w:p>
  </w:footnote>
  <w:footnote w:type="continuationSeparator" w:id="0">
    <w:p w:rsidR="00BE38B8" w:rsidRDefault="00BE38B8" w:rsidP="00CA2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FF"/>
    <w:rsid w:val="00065BFA"/>
    <w:rsid w:val="00071A06"/>
    <w:rsid w:val="000A0DD7"/>
    <w:rsid w:val="00113233"/>
    <w:rsid w:val="002E150A"/>
    <w:rsid w:val="002F2AD2"/>
    <w:rsid w:val="0031678F"/>
    <w:rsid w:val="0033546D"/>
    <w:rsid w:val="00367511"/>
    <w:rsid w:val="00382B19"/>
    <w:rsid w:val="003E6135"/>
    <w:rsid w:val="004119D8"/>
    <w:rsid w:val="004803C8"/>
    <w:rsid w:val="004D5A3F"/>
    <w:rsid w:val="00524BEF"/>
    <w:rsid w:val="005361CA"/>
    <w:rsid w:val="00573F79"/>
    <w:rsid w:val="0058261B"/>
    <w:rsid w:val="00590660"/>
    <w:rsid w:val="005E0E0F"/>
    <w:rsid w:val="00663047"/>
    <w:rsid w:val="006A29D8"/>
    <w:rsid w:val="006A2FF5"/>
    <w:rsid w:val="0074596B"/>
    <w:rsid w:val="007C0CD0"/>
    <w:rsid w:val="00801024"/>
    <w:rsid w:val="008D7DBD"/>
    <w:rsid w:val="008F342E"/>
    <w:rsid w:val="009456EA"/>
    <w:rsid w:val="00A0725A"/>
    <w:rsid w:val="00A32A97"/>
    <w:rsid w:val="00A47CA4"/>
    <w:rsid w:val="00A712A3"/>
    <w:rsid w:val="00A815B3"/>
    <w:rsid w:val="00A85AFF"/>
    <w:rsid w:val="00B71625"/>
    <w:rsid w:val="00BE38B8"/>
    <w:rsid w:val="00CA2B93"/>
    <w:rsid w:val="00CA5262"/>
    <w:rsid w:val="00D23F82"/>
    <w:rsid w:val="00D30774"/>
    <w:rsid w:val="00E71087"/>
    <w:rsid w:val="00F13A7C"/>
    <w:rsid w:val="00F73C2D"/>
    <w:rsid w:val="00F74611"/>
    <w:rsid w:val="00F75C96"/>
    <w:rsid w:val="00FD4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B572"/>
  <w15:docId w15:val="{35011E91-8A13-429B-A0A4-51591579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C8"/>
    <w:rPr>
      <w:rFonts w:ascii="Tahoma" w:hAnsi="Tahoma" w:cs="Tahoma"/>
      <w:sz w:val="16"/>
      <w:szCs w:val="16"/>
    </w:rPr>
  </w:style>
  <w:style w:type="table" w:styleId="TableGrid">
    <w:name w:val="Table Grid"/>
    <w:basedOn w:val="TableNormal"/>
    <w:uiPriority w:val="59"/>
    <w:rsid w:val="0059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B93"/>
  </w:style>
  <w:style w:type="paragraph" w:styleId="Footer">
    <w:name w:val="footer"/>
    <w:basedOn w:val="Normal"/>
    <w:link w:val="FooterChar"/>
    <w:uiPriority w:val="99"/>
    <w:unhideWhenUsed/>
    <w:rsid w:val="00CA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FCF7-3F60-4472-ACCF-FA77E852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Clendening</dc:creator>
  <cp:lastModifiedBy>Stephen Abram</cp:lastModifiedBy>
  <cp:revision>3</cp:revision>
  <cp:lastPrinted>2018-11-16T20:53:00Z</cp:lastPrinted>
  <dcterms:created xsi:type="dcterms:W3CDTF">2019-03-15T15:07:00Z</dcterms:created>
  <dcterms:modified xsi:type="dcterms:W3CDTF">2019-03-15T15:07:00Z</dcterms:modified>
</cp:coreProperties>
</file>