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977" w:rsidRDefault="0015638B" w:rsidP="0015638B">
      <w:pPr>
        <w:jc w:val="center"/>
        <w:rPr>
          <w:b/>
          <w:sz w:val="28"/>
        </w:rPr>
      </w:pPr>
      <w:r>
        <w:rPr>
          <w:b/>
          <w:noProof/>
          <w:sz w:val="28"/>
          <w:lang w:eastAsia="en-CA"/>
        </w:rPr>
        <w:drawing>
          <wp:inline distT="0" distB="0" distL="0" distR="0">
            <wp:extent cx="5003800" cy="1333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pl-logo-wide_orig.jpg"/>
                    <pic:cNvPicPr/>
                  </pic:nvPicPr>
                  <pic:blipFill>
                    <a:blip r:embed="rId5">
                      <a:extLst>
                        <a:ext uri="{28A0092B-C50C-407E-A947-70E740481C1C}">
                          <a14:useLocalDpi xmlns:a14="http://schemas.microsoft.com/office/drawing/2010/main" val="0"/>
                        </a:ext>
                      </a:extLst>
                    </a:blip>
                    <a:stretch>
                      <a:fillRect/>
                    </a:stretch>
                  </pic:blipFill>
                  <pic:spPr>
                    <a:xfrm>
                      <a:off x="0" y="0"/>
                      <a:ext cx="5003800" cy="1333500"/>
                    </a:xfrm>
                    <a:prstGeom prst="rect">
                      <a:avLst/>
                    </a:prstGeom>
                  </pic:spPr>
                </pic:pic>
              </a:graphicData>
            </a:graphic>
          </wp:inline>
        </w:drawing>
      </w:r>
    </w:p>
    <w:p w:rsidR="009A4977" w:rsidRDefault="0015638B" w:rsidP="0015638B">
      <w:pPr>
        <w:jc w:val="center"/>
        <w:rPr>
          <w:b/>
          <w:sz w:val="28"/>
        </w:rPr>
      </w:pPr>
      <w:r>
        <w:rPr>
          <w:b/>
          <w:noProof/>
          <w:sz w:val="28"/>
          <w:lang w:eastAsia="en-CA"/>
        </w:rPr>
        <w:drawing>
          <wp:inline distT="0" distB="0" distL="0" distR="0">
            <wp:extent cx="3953427" cy="20005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PLTagline.png"/>
                    <pic:cNvPicPr/>
                  </pic:nvPicPr>
                  <pic:blipFill>
                    <a:blip r:embed="rId6">
                      <a:extLst>
                        <a:ext uri="{28A0092B-C50C-407E-A947-70E740481C1C}">
                          <a14:useLocalDpi xmlns:a14="http://schemas.microsoft.com/office/drawing/2010/main" val="0"/>
                        </a:ext>
                      </a:extLst>
                    </a:blip>
                    <a:stretch>
                      <a:fillRect/>
                    </a:stretch>
                  </pic:blipFill>
                  <pic:spPr>
                    <a:xfrm>
                      <a:off x="0" y="0"/>
                      <a:ext cx="3953427" cy="200053"/>
                    </a:xfrm>
                    <a:prstGeom prst="rect">
                      <a:avLst/>
                    </a:prstGeom>
                  </pic:spPr>
                </pic:pic>
              </a:graphicData>
            </a:graphic>
          </wp:inline>
        </w:drawing>
      </w:r>
    </w:p>
    <w:p w:rsidR="00394E72" w:rsidRPr="00380178" w:rsidRDefault="00394E72" w:rsidP="00394E72">
      <w:pPr>
        <w:spacing w:after="0" w:line="240" w:lineRule="auto"/>
        <w:jc w:val="center"/>
        <w:rPr>
          <w:b/>
          <w:bCs/>
          <w:sz w:val="40"/>
          <w:szCs w:val="40"/>
        </w:rPr>
      </w:pPr>
      <w:r>
        <w:rPr>
          <w:b/>
          <w:bCs/>
          <w:sz w:val="40"/>
          <w:szCs w:val="40"/>
        </w:rPr>
        <w:t>AGENDA ITEM DOC</w:t>
      </w:r>
      <w:r>
        <w:rPr>
          <w:b/>
          <w:bCs/>
          <w:sz w:val="40"/>
          <w:szCs w:val="40"/>
        </w:rPr>
        <w:t>6</w:t>
      </w:r>
    </w:p>
    <w:p w:rsidR="00394E72" w:rsidRDefault="00394E72" w:rsidP="00394E72">
      <w:pPr>
        <w:spacing w:after="0" w:line="240" w:lineRule="auto"/>
      </w:pPr>
    </w:p>
    <w:p w:rsidR="00394E72" w:rsidRPr="00380178" w:rsidRDefault="00394E72" w:rsidP="00394E72">
      <w:pPr>
        <w:spacing w:after="0" w:line="240" w:lineRule="auto"/>
        <w:rPr>
          <w:b/>
          <w:bCs/>
        </w:rPr>
      </w:pPr>
      <w:r w:rsidRPr="00380178">
        <w:rPr>
          <w:b/>
          <w:bCs/>
        </w:rPr>
        <w:t xml:space="preserve">Subject:  </w:t>
      </w:r>
      <w:r w:rsidRPr="00380178">
        <w:rPr>
          <w:b/>
          <w:bCs/>
        </w:rPr>
        <w:tab/>
      </w:r>
      <w:r w:rsidRPr="00380178">
        <w:rPr>
          <w:b/>
          <w:bCs/>
        </w:rPr>
        <w:tab/>
      </w:r>
      <w:r>
        <w:rPr>
          <w:b/>
          <w:bCs/>
        </w:rPr>
        <w:t>Regional Government Review Submission</w:t>
      </w:r>
    </w:p>
    <w:p w:rsidR="00394E72" w:rsidRPr="00380178" w:rsidRDefault="00394E72" w:rsidP="00394E72">
      <w:pPr>
        <w:spacing w:after="0" w:line="240" w:lineRule="auto"/>
        <w:rPr>
          <w:b/>
          <w:bCs/>
        </w:rPr>
      </w:pPr>
      <w:r w:rsidRPr="00380178">
        <w:rPr>
          <w:b/>
          <w:bCs/>
        </w:rPr>
        <w:t>Date:</w:t>
      </w:r>
      <w:r w:rsidRPr="00380178">
        <w:rPr>
          <w:b/>
          <w:bCs/>
        </w:rPr>
        <w:tab/>
      </w:r>
      <w:r w:rsidRPr="00380178">
        <w:rPr>
          <w:b/>
          <w:bCs/>
        </w:rPr>
        <w:tab/>
      </w:r>
      <w:r w:rsidRPr="00380178">
        <w:rPr>
          <w:b/>
          <w:bCs/>
        </w:rPr>
        <w:tab/>
      </w:r>
      <w:r>
        <w:rPr>
          <w:b/>
          <w:bCs/>
        </w:rPr>
        <w:t>May 25, 2019</w:t>
      </w:r>
    </w:p>
    <w:p w:rsidR="00394E72" w:rsidRPr="00380178" w:rsidRDefault="00394E72" w:rsidP="00394E72">
      <w:pPr>
        <w:spacing w:after="0" w:line="240" w:lineRule="auto"/>
        <w:rPr>
          <w:b/>
          <w:bCs/>
        </w:rPr>
      </w:pPr>
      <w:r w:rsidRPr="00380178">
        <w:rPr>
          <w:b/>
          <w:bCs/>
        </w:rPr>
        <w:t xml:space="preserve">Prepared by:  </w:t>
      </w:r>
      <w:r w:rsidRPr="00380178">
        <w:rPr>
          <w:b/>
          <w:bCs/>
        </w:rPr>
        <w:tab/>
      </w:r>
      <w:r w:rsidRPr="00380178">
        <w:rPr>
          <w:b/>
          <w:bCs/>
        </w:rPr>
        <w:tab/>
      </w:r>
      <w:r>
        <w:rPr>
          <w:b/>
          <w:bCs/>
        </w:rPr>
        <w:t>Stephen Abram, FOPL Executive Director</w:t>
      </w:r>
    </w:p>
    <w:p w:rsidR="00394E72" w:rsidRPr="00380178" w:rsidRDefault="00394E72" w:rsidP="00394E72">
      <w:pPr>
        <w:pBdr>
          <w:bottom w:val="single" w:sz="12" w:space="1" w:color="auto"/>
        </w:pBdr>
        <w:spacing w:after="0" w:line="240" w:lineRule="auto"/>
        <w:rPr>
          <w:b/>
          <w:bCs/>
        </w:rPr>
      </w:pPr>
      <w:r>
        <w:rPr>
          <w:b/>
          <w:bCs/>
        </w:rPr>
        <w:t xml:space="preserve">Prepared for:  </w:t>
      </w:r>
      <w:r>
        <w:rPr>
          <w:b/>
          <w:bCs/>
        </w:rPr>
        <w:tab/>
      </w:r>
      <w:r>
        <w:rPr>
          <w:b/>
          <w:bCs/>
        </w:rPr>
        <w:tab/>
      </w:r>
      <w:r w:rsidRPr="00380178">
        <w:rPr>
          <w:b/>
          <w:bCs/>
        </w:rPr>
        <w:t xml:space="preserve">FOPL </w:t>
      </w:r>
      <w:r>
        <w:rPr>
          <w:b/>
          <w:bCs/>
        </w:rPr>
        <w:t xml:space="preserve">Board </w:t>
      </w:r>
      <w:r w:rsidRPr="00380178">
        <w:rPr>
          <w:b/>
          <w:bCs/>
        </w:rPr>
        <w:t>Meeting</w:t>
      </w:r>
      <w:r>
        <w:rPr>
          <w:b/>
          <w:bCs/>
        </w:rPr>
        <w:t>,</w:t>
      </w:r>
      <w:r w:rsidRPr="00380178">
        <w:rPr>
          <w:b/>
          <w:bCs/>
        </w:rPr>
        <w:t xml:space="preserve"> </w:t>
      </w:r>
      <w:r>
        <w:rPr>
          <w:b/>
          <w:bCs/>
        </w:rPr>
        <w:t>June 7, 2019</w:t>
      </w:r>
    </w:p>
    <w:p w:rsidR="006410B1" w:rsidRDefault="006410B1" w:rsidP="006410B1">
      <w:pPr>
        <w:pStyle w:val="NoSpacing"/>
        <w:rPr>
          <w:rFonts w:ascii="Arial" w:hAnsi="Arial" w:cs="Arial"/>
          <w:b/>
          <w:sz w:val="24"/>
          <w:szCs w:val="24"/>
        </w:rPr>
      </w:pPr>
    </w:p>
    <w:p w:rsidR="00394E72" w:rsidRDefault="00394E72" w:rsidP="006410B1">
      <w:pPr>
        <w:pStyle w:val="NoSpacing"/>
        <w:rPr>
          <w:rFonts w:ascii="Arial" w:hAnsi="Arial" w:cs="Arial"/>
          <w:b/>
          <w:sz w:val="24"/>
          <w:szCs w:val="24"/>
        </w:rPr>
      </w:pPr>
      <w:r>
        <w:rPr>
          <w:rFonts w:ascii="Arial" w:hAnsi="Arial" w:cs="Arial"/>
          <w:b/>
          <w:sz w:val="24"/>
          <w:szCs w:val="24"/>
        </w:rPr>
        <w:t>This was submitted to the Regional Government Review by the deadline.  A longer version was presented orally to the co-chairs.</w:t>
      </w:r>
    </w:p>
    <w:p w:rsidR="00394E72" w:rsidRDefault="00394E72" w:rsidP="006410B1">
      <w:pPr>
        <w:pStyle w:val="NoSpacing"/>
        <w:rPr>
          <w:rFonts w:ascii="Arial" w:hAnsi="Arial" w:cs="Arial"/>
          <w:b/>
          <w:sz w:val="24"/>
          <w:szCs w:val="24"/>
        </w:rPr>
      </w:pPr>
      <w:r>
        <w:rPr>
          <w:rFonts w:ascii="Arial" w:hAnsi="Arial" w:cs="Arial"/>
          <w:b/>
          <w:sz w:val="24"/>
          <w:szCs w:val="24"/>
        </w:rPr>
        <w:t>Niagara Region Libraries also presented and submitted.</w:t>
      </w:r>
    </w:p>
    <w:p w:rsidR="00394E72" w:rsidRDefault="00394E72" w:rsidP="006410B1">
      <w:pPr>
        <w:pStyle w:val="NoSpacing"/>
        <w:rPr>
          <w:rFonts w:ascii="Arial" w:hAnsi="Arial" w:cs="Arial"/>
          <w:b/>
          <w:sz w:val="24"/>
          <w:szCs w:val="24"/>
        </w:rPr>
      </w:pPr>
      <w:r>
        <w:rPr>
          <w:rFonts w:ascii="Arial" w:hAnsi="Arial" w:cs="Arial"/>
          <w:b/>
          <w:sz w:val="24"/>
          <w:szCs w:val="24"/>
        </w:rPr>
        <w:t>The ultimate report will be a secret cabinet document.</w:t>
      </w:r>
    </w:p>
    <w:p w:rsidR="00394E72" w:rsidRDefault="00394E72" w:rsidP="006410B1">
      <w:pPr>
        <w:pStyle w:val="NoSpacing"/>
        <w:rPr>
          <w:rFonts w:ascii="Arial" w:hAnsi="Arial" w:cs="Arial"/>
          <w:b/>
          <w:sz w:val="24"/>
          <w:szCs w:val="24"/>
        </w:rPr>
      </w:pPr>
      <w:bookmarkStart w:id="0" w:name="_GoBack"/>
      <w:bookmarkEnd w:id="0"/>
    </w:p>
    <w:p w:rsidR="006410B1" w:rsidRPr="00ED374D" w:rsidRDefault="006410B1" w:rsidP="006410B1">
      <w:pPr>
        <w:pStyle w:val="NoSpacing"/>
        <w:rPr>
          <w:rFonts w:ascii="Arial" w:hAnsi="Arial" w:cs="Arial"/>
          <w:sz w:val="24"/>
          <w:szCs w:val="24"/>
        </w:rPr>
      </w:pPr>
      <w:r w:rsidRPr="00ED374D">
        <w:rPr>
          <w:rFonts w:ascii="Arial" w:hAnsi="Arial" w:cs="Arial"/>
          <w:sz w:val="24"/>
          <w:szCs w:val="24"/>
        </w:rPr>
        <w:t>Stephen Abram</w:t>
      </w:r>
    </w:p>
    <w:p w:rsidR="006410B1" w:rsidRPr="00ED374D" w:rsidRDefault="006410B1" w:rsidP="006410B1">
      <w:pPr>
        <w:pStyle w:val="NoSpacing"/>
        <w:rPr>
          <w:rFonts w:ascii="Arial" w:hAnsi="Arial" w:cs="Arial"/>
          <w:sz w:val="24"/>
          <w:szCs w:val="24"/>
        </w:rPr>
      </w:pPr>
      <w:r w:rsidRPr="00ED374D">
        <w:rPr>
          <w:rFonts w:ascii="Arial" w:hAnsi="Arial" w:cs="Arial"/>
          <w:sz w:val="24"/>
          <w:szCs w:val="24"/>
        </w:rPr>
        <w:t>Executive Director</w:t>
      </w:r>
    </w:p>
    <w:p w:rsidR="006410B1" w:rsidRPr="00ED374D" w:rsidRDefault="006410B1" w:rsidP="006410B1">
      <w:pPr>
        <w:pStyle w:val="NoSpacing"/>
        <w:rPr>
          <w:rFonts w:ascii="Arial" w:hAnsi="Arial" w:cs="Arial"/>
          <w:sz w:val="24"/>
          <w:szCs w:val="24"/>
        </w:rPr>
      </w:pPr>
      <w:r w:rsidRPr="00ED374D">
        <w:rPr>
          <w:rFonts w:ascii="Arial" w:hAnsi="Arial" w:cs="Arial"/>
          <w:sz w:val="24"/>
          <w:szCs w:val="24"/>
        </w:rPr>
        <w:t>Federation of Ontario Public Libraries</w:t>
      </w:r>
    </w:p>
    <w:p w:rsidR="006410B1" w:rsidRPr="00ED374D" w:rsidRDefault="00394E72" w:rsidP="006410B1">
      <w:pPr>
        <w:pStyle w:val="NoSpacing"/>
        <w:rPr>
          <w:rFonts w:ascii="Arial" w:hAnsi="Arial" w:cs="Arial"/>
          <w:sz w:val="24"/>
          <w:szCs w:val="24"/>
        </w:rPr>
      </w:pPr>
      <w:hyperlink r:id="rId7" w:history="1">
        <w:r w:rsidR="006410B1" w:rsidRPr="00ED374D">
          <w:rPr>
            <w:rStyle w:val="Hyperlink"/>
            <w:rFonts w:ascii="Arial" w:hAnsi="Arial" w:cs="Arial"/>
            <w:sz w:val="24"/>
            <w:szCs w:val="24"/>
          </w:rPr>
          <w:t>sabram@fopl.ca</w:t>
        </w:r>
      </w:hyperlink>
    </w:p>
    <w:p w:rsidR="006410B1" w:rsidRPr="00ED374D" w:rsidRDefault="006410B1" w:rsidP="006410B1">
      <w:pPr>
        <w:pStyle w:val="NoSpacing"/>
        <w:rPr>
          <w:rFonts w:ascii="Arial" w:hAnsi="Arial" w:cs="Arial"/>
          <w:sz w:val="24"/>
          <w:szCs w:val="24"/>
        </w:rPr>
      </w:pPr>
      <w:r w:rsidRPr="00ED374D">
        <w:rPr>
          <w:rFonts w:ascii="Arial" w:hAnsi="Arial" w:cs="Arial"/>
          <w:sz w:val="24"/>
          <w:szCs w:val="24"/>
        </w:rPr>
        <w:t>Direct: 416-395-0746</w:t>
      </w:r>
    </w:p>
    <w:p w:rsidR="006410B1" w:rsidRPr="00ED374D" w:rsidRDefault="006410B1" w:rsidP="006410B1">
      <w:pPr>
        <w:pStyle w:val="NoSpacing"/>
        <w:rPr>
          <w:rFonts w:ascii="Arial" w:hAnsi="Arial" w:cs="Arial"/>
          <w:sz w:val="24"/>
          <w:szCs w:val="24"/>
        </w:rPr>
      </w:pPr>
      <w:r w:rsidRPr="00ED374D">
        <w:rPr>
          <w:rFonts w:ascii="Arial" w:hAnsi="Arial" w:cs="Arial"/>
          <w:sz w:val="24"/>
          <w:szCs w:val="24"/>
        </w:rPr>
        <w:t>Cel: 416-669-4855</w:t>
      </w:r>
    </w:p>
    <w:p w:rsidR="00884BCF" w:rsidRDefault="00884BCF" w:rsidP="006410B1">
      <w:pPr>
        <w:pStyle w:val="NormalWeb"/>
        <w:shd w:val="clear" w:color="auto" w:fill="FFFFFF"/>
        <w:rPr>
          <w:rFonts w:ascii="Helvetica" w:hAnsi="Helvetica" w:cs="Helvetica"/>
        </w:rPr>
      </w:pPr>
      <w:r w:rsidRPr="006410B1">
        <w:rPr>
          <w:rFonts w:ascii="Helvetica" w:hAnsi="Helvetica" w:cs="Helvetica"/>
        </w:rPr>
        <w:t>Local Government Policy Branch</w:t>
      </w:r>
      <w:r w:rsidRPr="006410B1">
        <w:rPr>
          <w:rFonts w:ascii="Helvetica" w:hAnsi="Helvetica" w:cs="Helvetica"/>
        </w:rPr>
        <w:br/>
        <w:t>Ministry of Municipal Affairs and Housing</w:t>
      </w:r>
      <w:r w:rsidRPr="006410B1">
        <w:rPr>
          <w:rFonts w:ascii="Helvetica" w:hAnsi="Helvetica" w:cs="Helvetica"/>
        </w:rPr>
        <w:br/>
        <w:t>777 Bay Street, 13</w:t>
      </w:r>
      <w:r w:rsidRPr="006410B1">
        <w:rPr>
          <w:rFonts w:ascii="Helvetica" w:hAnsi="Helvetica" w:cs="Helvetica"/>
          <w:sz w:val="18"/>
          <w:szCs w:val="18"/>
          <w:vertAlign w:val="superscript"/>
        </w:rPr>
        <w:t>th</w:t>
      </w:r>
      <w:r w:rsidRPr="006410B1">
        <w:rPr>
          <w:rFonts w:ascii="Helvetica" w:hAnsi="Helvetica" w:cs="Helvetica"/>
        </w:rPr>
        <w:t> floor</w:t>
      </w:r>
      <w:r w:rsidRPr="006410B1">
        <w:rPr>
          <w:rFonts w:ascii="Helvetica" w:hAnsi="Helvetica" w:cs="Helvetica"/>
        </w:rPr>
        <w:br/>
        <w:t>Toronto, Ontario M5G 2E5</w:t>
      </w:r>
    </w:p>
    <w:p w:rsidR="002954DA" w:rsidRPr="002954DA" w:rsidRDefault="002954DA" w:rsidP="002954DA">
      <w:pPr>
        <w:pStyle w:val="NormalWeb"/>
        <w:shd w:val="clear" w:color="auto" w:fill="FFFFFF"/>
        <w:rPr>
          <w:rFonts w:ascii="Arial" w:hAnsi="Arial" w:cs="Arial"/>
          <w:b/>
        </w:rPr>
      </w:pPr>
      <w:r w:rsidRPr="002954DA">
        <w:rPr>
          <w:rFonts w:ascii="Arial" w:hAnsi="Arial" w:cs="Arial"/>
        </w:rPr>
        <w:t xml:space="preserve">RE:  </w:t>
      </w:r>
      <w:r w:rsidRPr="002954DA">
        <w:rPr>
          <w:rFonts w:ascii="Arial" w:hAnsi="Arial" w:cs="Arial"/>
          <w:b/>
        </w:rPr>
        <w:t>Regional Government Review Consultations</w:t>
      </w:r>
    </w:p>
    <w:p w:rsidR="002954DA" w:rsidRPr="006410B1" w:rsidRDefault="002954DA" w:rsidP="002954DA">
      <w:pPr>
        <w:pStyle w:val="NormalWeb"/>
        <w:shd w:val="clear" w:color="auto" w:fill="FFFFFF"/>
        <w:rPr>
          <w:rFonts w:ascii="Helvetica" w:hAnsi="Helvetica" w:cs="Helvetica"/>
        </w:rPr>
      </w:pPr>
      <w:r>
        <w:rPr>
          <w:rFonts w:ascii="Helvetica" w:hAnsi="Helvetica" w:cs="Helvetica"/>
        </w:rPr>
        <w:t xml:space="preserve">TO: </w:t>
      </w:r>
      <w:r>
        <w:rPr>
          <w:rFonts w:ascii="Arial" w:hAnsi="Arial" w:cs="Arial"/>
        </w:rPr>
        <w:t>Chairs Ken Seiling and Michael Fenn</w:t>
      </w:r>
    </w:p>
    <w:p w:rsidR="006410B1" w:rsidRPr="006410B1" w:rsidRDefault="006410B1" w:rsidP="006410B1">
      <w:pPr>
        <w:pStyle w:val="NormalWeb"/>
        <w:shd w:val="clear" w:color="auto" w:fill="FFFFFF"/>
        <w:rPr>
          <w:rFonts w:ascii="Helvetica" w:hAnsi="Helvetica" w:cs="Helvetica"/>
        </w:rPr>
      </w:pPr>
      <w:r w:rsidRPr="006410B1">
        <w:rPr>
          <w:rFonts w:ascii="Helvetica" w:hAnsi="Helvetica" w:cs="Helvetica"/>
        </w:rPr>
        <w:t>Via email at </w:t>
      </w:r>
      <w:hyperlink r:id="rId8" w:history="1">
        <w:r w:rsidRPr="006410B1">
          <w:rPr>
            <w:rStyle w:val="Hyperlink"/>
            <w:rFonts w:ascii="Helvetica" w:hAnsi="Helvetica" w:cs="Helvetica"/>
            <w:color w:val="auto"/>
          </w:rPr>
          <w:t>regionalgovreview@ontario.ca</w:t>
        </w:r>
      </w:hyperlink>
      <w:r w:rsidRPr="006410B1">
        <w:rPr>
          <w:rFonts w:ascii="Helvetica" w:hAnsi="Helvetica" w:cs="Helvetica"/>
        </w:rPr>
        <w:t> </w:t>
      </w:r>
    </w:p>
    <w:p w:rsidR="00715B77" w:rsidRPr="002954DA" w:rsidRDefault="00715B77" w:rsidP="002954DA">
      <w:pPr>
        <w:rPr>
          <w:rFonts w:ascii="Arial" w:hAnsi="Arial" w:cs="Arial"/>
          <w:b/>
          <w:sz w:val="24"/>
          <w:szCs w:val="24"/>
        </w:rPr>
      </w:pPr>
      <w:r w:rsidRPr="002954DA">
        <w:rPr>
          <w:rFonts w:ascii="Arial" w:hAnsi="Arial" w:cs="Arial"/>
          <w:sz w:val="24"/>
          <w:szCs w:val="24"/>
        </w:rPr>
        <w:t>Thank you for the opportunity to participate in your Regional Government Review consultations.</w:t>
      </w:r>
    </w:p>
    <w:p w:rsidR="00C5642A" w:rsidRDefault="002954DA" w:rsidP="00C5642A">
      <w:pPr>
        <w:rPr>
          <w:rFonts w:ascii="Arial" w:hAnsi="Arial" w:cs="Arial"/>
          <w:sz w:val="24"/>
          <w:szCs w:val="24"/>
        </w:rPr>
      </w:pPr>
      <w:r w:rsidRPr="002954DA">
        <w:rPr>
          <w:rFonts w:ascii="Arial" w:hAnsi="Arial" w:cs="Arial"/>
          <w:sz w:val="24"/>
          <w:szCs w:val="24"/>
        </w:rPr>
        <w:t xml:space="preserve">We are the </w:t>
      </w:r>
      <w:r w:rsidR="00715B77" w:rsidRPr="002954DA">
        <w:rPr>
          <w:rFonts w:ascii="Arial" w:hAnsi="Arial" w:cs="Arial"/>
          <w:sz w:val="24"/>
          <w:szCs w:val="24"/>
        </w:rPr>
        <w:t xml:space="preserve">Federation of Ontario Public Libraries. We represent Ontario’s over 310 library systems with over 6 million library cardholders – in Ontario’s rural, northern, </w:t>
      </w:r>
      <w:r w:rsidR="00715B77" w:rsidRPr="002954DA">
        <w:rPr>
          <w:rFonts w:ascii="Arial" w:hAnsi="Arial" w:cs="Arial"/>
          <w:sz w:val="24"/>
          <w:szCs w:val="24"/>
        </w:rPr>
        <w:lastRenderedPageBreak/>
        <w:t xml:space="preserve">town, county, suburban, urban, indigenous, and francophone communities including all 82 Southern Ontario communities covered by this consultation. </w:t>
      </w:r>
      <w:r w:rsidRPr="002954DA">
        <w:rPr>
          <w:rFonts w:ascii="Arial" w:hAnsi="Arial" w:cs="Arial"/>
          <w:sz w:val="24"/>
          <w:szCs w:val="24"/>
        </w:rPr>
        <w:t xml:space="preserve"> </w:t>
      </w:r>
    </w:p>
    <w:p w:rsidR="002144EA" w:rsidRDefault="002954DA" w:rsidP="00C5642A">
      <w:pPr>
        <w:rPr>
          <w:rFonts w:ascii="Arial" w:hAnsi="Arial" w:cs="Arial"/>
          <w:sz w:val="24"/>
          <w:szCs w:val="24"/>
        </w:rPr>
      </w:pPr>
      <w:r w:rsidRPr="002954DA">
        <w:rPr>
          <w:rFonts w:ascii="Arial" w:hAnsi="Arial" w:cs="Arial"/>
          <w:sz w:val="24"/>
          <w:szCs w:val="24"/>
        </w:rPr>
        <w:t>Public libraries are Ontario’s farthest-reaching, most cost-effective public resource, reaching 98% of Ontarians</w:t>
      </w:r>
      <w:r w:rsidR="002144EA">
        <w:rPr>
          <w:rFonts w:ascii="Arial" w:hAnsi="Arial" w:cs="Arial"/>
          <w:sz w:val="24"/>
          <w:szCs w:val="24"/>
        </w:rPr>
        <w:t>. Public libraries are local</w:t>
      </w:r>
      <w:r w:rsidRPr="002954DA">
        <w:rPr>
          <w:rFonts w:ascii="Arial" w:hAnsi="Arial" w:cs="Arial"/>
          <w:sz w:val="24"/>
          <w:szCs w:val="24"/>
        </w:rPr>
        <w:t xml:space="preserve"> and adapt to meet the people-focused needs of their communities. Through strong local partnerships, trained frontline library staff develop &amp; provide programs and services that millions of people depend on. They also provide reliable broadband access and are the frontline ServiceOntario point-of-access for thousands of Ontari</w:t>
      </w:r>
      <w:r w:rsidR="00C5642A">
        <w:rPr>
          <w:rFonts w:ascii="Arial" w:hAnsi="Arial" w:cs="Arial"/>
          <w:sz w:val="24"/>
          <w:szCs w:val="24"/>
        </w:rPr>
        <w:t>ans</w:t>
      </w:r>
      <w:r w:rsidRPr="002954DA">
        <w:rPr>
          <w:rFonts w:ascii="Arial" w:hAnsi="Arial" w:cs="Arial"/>
          <w:sz w:val="24"/>
          <w:szCs w:val="24"/>
        </w:rPr>
        <w:t>.</w:t>
      </w:r>
      <w:r>
        <w:rPr>
          <w:rFonts w:ascii="Arial" w:hAnsi="Arial" w:cs="Arial"/>
          <w:sz w:val="24"/>
          <w:szCs w:val="24"/>
        </w:rPr>
        <w:t xml:space="preserve">  Local public libraries are one of the most impactful and beloved community resources in Ontario.</w:t>
      </w:r>
      <w:r w:rsidR="00C5642A">
        <w:rPr>
          <w:rFonts w:ascii="Arial" w:hAnsi="Arial" w:cs="Arial"/>
          <w:sz w:val="24"/>
          <w:szCs w:val="24"/>
        </w:rPr>
        <w:t xml:space="preserve">  Despite a 22-year provincial funding freeze and virtually no growth per capita public libraries have adapted exceptionally well to the changes in Ontario’s communities. </w:t>
      </w:r>
    </w:p>
    <w:p w:rsidR="00C5642A" w:rsidRPr="002954DA" w:rsidRDefault="00C5642A" w:rsidP="00C5642A">
      <w:pPr>
        <w:rPr>
          <w:rFonts w:ascii="Arial" w:hAnsi="Arial" w:cs="Arial"/>
          <w:sz w:val="24"/>
          <w:szCs w:val="24"/>
        </w:rPr>
      </w:pPr>
      <w:r>
        <w:rPr>
          <w:rFonts w:ascii="Arial" w:hAnsi="Arial" w:cs="Arial"/>
          <w:sz w:val="24"/>
          <w:szCs w:val="24"/>
        </w:rPr>
        <w:t>Do</w:t>
      </w:r>
      <w:r w:rsidRPr="002954DA">
        <w:rPr>
          <w:rFonts w:ascii="Arial" w:hAnsi="Arial" w:cs="Arial"/>
          <w:sz w:val="24"/>
          <w:szCs w:val="24"/>
        </w:rPr>
        <w:t xml:space="preserve">zens of independent, local community </w:t>
      </w:r>
      <w:r w:rsidR="002144EA">
        <w:rPr>
          <w:rFonts w:ascii="Arial" w:hAnsi="Arial" w:cs="Arial"/>
          <w:sz w:val="24"/>
          <w:szCs w:val="24"/>
        </w:rPr>
        <w:t xml:space="preserve">library </w:t>
      </w:r>
      <w:r w:rsidRPr="002954DA">
        <w:rPr>
          <w:rFonts w:ascii="Arial" w:hAnsi="Arial" w:cs="Arial"/>
          <w:sz w:val="24"/>
          <w:szCs w:val="24"/>
        </w:rPr>
        <w:t xml:space="preserve">studies </w:t>
      </w:r>
      <w:r>
        <w:rPr>
          <w:rFonts w:ascii="Arial" w:hAnsi="Arial" w:cs="Arial"/>
          <w:sz w:val="24"/>
          <w:szCs w:val="24"/>
        </w:rPr>
        <w:t>show</w:t>
      </w:r>
      <w:r w:rsidRPr="002954DA">
        <w:rPr>
          <w:rFonts w:ascii="Arial" w:hAnsi="Arial" w:cs="Arial"/>
          <w:sz w:val="24"/>
          <w:szCs w:val="24"/>
        </w:rPr>
        <w:t xml:space="preserve"> that for every dollar of municipal and provincial investment, the community enjoys, on average, over $5 in raw economic return.  Indeed, our </w:t>
      </w:r>
      <w:r w:rsidRPr="002954DA">
        <w:rPr>
          <w:rFonts w:ascii="Arial" w:hAnsi="Arial" w:cs="Arial"/>
          <w:b/>
          <w:i/>
          <w:sz w:val="24"/>
          <w:szCs w:val="24"/>
        </w:rPr>
        <w:t>total</w:t>
      </w:r>
      <w:r w:rsidRPr="002954DA">
        <w:rPr>
          <w:rFonts w:ascii="Arial" w:hAnsi="Arial" w:cs="Arial"/>
          <w:sz w:val="24"/>
          <w:szCs w:val="24"/>
        </w:rPr>
        <w:t xml:space="preserve"> economic and social return on investment (in 8 new 2018/9 studies) showed an enviable return of</w:t>
      </w:r>
      <w:r w:rsidRPr="002954DA">
        <w:rPr>
          <w:rFonts w:ascii="Arial" w:hAnsi="Arial" w:cs="Arial"/>
          <w:b/>
          <w:sz w:val="24"/>
          <w:szCs w:val="24"/>
        </w:rPr>
        <w:t xml:space="preserve"> 2,700 per cent! </w:t>
      </w:r>
      <w:r w:rsidR="002144EA">
        <w:rPr>
          <w:rFonts w:ascii="Arial" w:hAnsi="Arial" w:cs="Arial"/>
          <w:b/>
          <w:sz w:val="24"/>
          <w:szCs w:val="24"/>
        </w:rPr>
        <w:t xml:space="preserve"> </w:t>
      </w:r>
      <w:r>
        <w:rPr>
          <w:rFonts w:ascii="Arial" w:hAnsi="Arial" w:cs="Arial"/>
          <w:sz w:val="24"/>
          <w:szCs w:val="24"/>
        </w:rPr>
        <w:t>Public libraries are already incredibly efficient</w:t>
      </w:r>
      <w:r w:rsidR="002144EA">
        <w:rPr>
          <w:rFonts w:ascii="Arial" w:hAnsi="Arial" w:cs="Arial"/>
          <w:sz w:val="24"/>
          <w:szCs w:val="24"/>
        </w:rPr>
        <w:t xml:space="preserve"> local services</w:t>
      </w:r>
      <w:r>
        <w:rPr>
          <w:rFonts w:ascii="Arial" w:hAnsi="Arial" w:cs="Arial"/>
          <w:sz w:val="24"/>
          <w:szCs w:val="24"/>
        </w:rPr>
        <w:t>.</w:t>
      </w:r>
    </w:p>
    <w:p w:rsidR="00C62645" w:rsidRPr="002954DA" w:rsidRDefault="00C62645" w:rsidP="002954DA">
      <w:pPr>
        <w:rPr>
          <w:rFonts w:ascii="Arial" w:hAnsi="Arial" w:cs="Arial"/>
          <w:sz w:val="24"/>
          <w:szCs w:val="24"/>
        </w:rPr>
      </w:pPr>
      <w:r w:rsidRPr="002954DA">
        <w:rPr>
          <w:rFonts w:ascii="Arial" w:hAnsi="Arial" w:cs="Arial"/>
          <w:sz w:val="24"/>
          <w:szCs w:val="24"/>
          <w:lang w:val="en-US"/>
        </w:rPr>
        <w:t xml:space="preserve">Ontario’s Public Library systems are exemplars of good </w:t>
      </w:r>
      <w:r w:rsidR="005D7869" w:rsidRPr="002954DA">
        <w:rPr>
          <w:rFonts w:ascii="Arial" w:hAnsi="Arial" w:cs="Arial"/>
          <w:sz w:val="24"/>
          <w:szCs w:val="24"/>
          <w:lang w:val="en-US"/>
        </w:rPr>
        <w:t xml:space="preserve">local, community-led, </w:t>
      </w:r>
      <w:r w:rsidRPr="002954DA">
        <w:rPr>
          <w:rFonts w:ascii="Arial" w:hAnsi="Arial" w:cs="Arial"/>
          <w:sz w:val="24"/>
          <w:szCs w:val="24"/>
          <w:lang w:val="en-US"/>
        </w:rPr>
        <w:t xml:space="preserve">governance, </w:t>
      </w:r>
      <w:r w:rsidR="005D7869" w:rsidRPr="002954DA">
        <w:rPr>
          <w:rFonts w:ascii="Arial" w:hAnsi="Arial" w:cs="Arial"/>
          <w:sz w:val="24"/>
          <w:szCs w:val="24"/>
          <w:lang w:val="en-US"/>
        </w:rPr>
        <w:t xml:space="preserve">advanced, large-scale </w:t>
      </w:r>
      <w:r w:rsidRPr="002954DA">
        <w:rPr>
          <w:rFonts w:ascii="Arial" w:hAnsi="Arial" w:cs="Arial"/>
          <w:sz w:val="24"/>
          <w:szCs w:val="24"/>
          <w:lang w:val="en-US"/>
        </w:rPr>
        <w:t>consortial and collaborative activities and strong partnerships with local, regional, municipal, provincial, and federal organizations for the benefit of the communities they serve.  We have too much data and proofs to share</w:t>
      </w:r>
      <w:r w:rsidR="002144EA">
        <w:rPr>
          <w:rFonts w:ascii="Arial" w:hAnsi="Arial" w:cs="Arial"/>
          <w:sz w:val="24"/>
          <w:szCs w:val="24"/>
          <w:lang w:val="en-US"/>
        </w:rPr>
        <w:t xml:space="preserve"> here</w:t>
      </w:r>
      <w:r w:rsidRPr="002954DA">
        <w:rPr>
          <w:rFonts w:ascii="Arial" w:hAnsi="Arial" w:cs="Arial"/>
          <w:sz w:val="24"/>
          <w:szCs w:val="24"/>
          <w:lang w:val="en-US"/>
        </w:rPr>
        <w:t xml:space="preserve">, but we stand ready to provide </w:t>
      </w:r>
      <w:r w:rsidR="002144EA">
        <w:rPr>
          <w:rFonts w:ascii="Arial" w:hAnsi="Arial" w:cs="Arial"/>
          <w:sz w:val="24"/>
          <w:szCs w:val="24"/>
          <w:lang w:val="en-US"/>
        </w:rPr>
        <w:t>any</w:t>
      </w:r>
      <w:r w:rsidRPr="002954DA">
        <w:rPr>
          <w:rFonts w:ascii="Arial" w:hAnsi="Arial" w:cs="Arial"/>
          <w:sz w:val="24"/>
          <w:szCs w:val="24"/>
          <w:lang w:val="en-US"/>
        </w:rPr>
        <w:t xml:space="preserve"> at your request.</w:t>
      </w:r>
      <w:r w:rsidR="005D7869" w:rsidRPr="002954DA">
        <w:rPr>
          <w:rFonts w:ascii="Arial" w:hAnsi="Arial" w:cs="Arial"/>
          <w:sz w:val="24"/>
          <w:szCs w:val="24"/>
          <w:lang w:val="en-US"/>
        </w:rPr>
        <w:t xml:space="preserve">  </w:t>
      </w:r>
      <w:r w:rsidR="002144EA">
        <w:rPr>
          <w:rFonts w:ascii="Arial" w:hAnsi="Arial" w:cs="Arial"/>
          <w:sz w:val="24"/>
          <w:szCs w:val="24"/>
          <w:lang w:val="en-US"/>
        </w:rPr>
        <w:t>O</w:t>
      </w:r>
      <w:r w:rsidR="005D7869" w:rsidRPr="002954DA">
        <w:rPr>
          <w:rFonts w:ascii="Arial" w:hAnsi="Arial" w:cs="Arial"/>
          <w:sz w:val="24"/>
          <w:szCs w:val="24"/>
          <w:lang w:val="en-US"/>
        </w:rPr>
        <w:t xml:space="preserve">ur </w:t>
      </w:r>
      <w:r w:rsidR="002954DA" w:rsidRPr="002954DA">
        <w:rPr>
          <w:rFonts w:ascii="Arial" w:hAnsi="Arial" w:cs="Arial"/>
          <w:sz w:val="24"/>
          <w:szCs w:val="24"/>
          <w:lang w:val="en-US"/>
        </w:rPr>
        <w:t xml:space="preserve">locally led </w:t>
      </w:r>
      <w:r w:rsidR="005D7869" w:rsidRPr="002954DA">
        <w:rPr>
          <w:rFonts w:ascii="Arial" w:hAnsi="Arial" w:cs="Arial"/>
          <w:sz w:val="24"/>
          <w:szCs w:val="24"/>
          <w:lang w:val="en-US"/>
        </w:rPr>
        <w:t>model should be reviewed for other sectors.</w:t>
      </w:r>
    </w:p>
    <w:p w:rsidR="002144EA" w:rsidRDefault="00715B77" w:rsidP="002954DA">
      <w:pPr>
        <w:rPr>
          <w:rFonts w:ascii="Arial" w:hAnsi="Arial" w:cs="Arial"/>
          <w:sz w:val="24"/>
          <w:szCs w:val="24"/>
          <w:lang w:val="en-US"/>
        </w:rPr>
      </w:pPr>
      <w:r w:rsidRPr="002954DA">
        <w:rPr>
          <w:rFonts w:ascii="Arial" w:hAnsi="Arial" w:cs="Arial"/>
          <w:sz w:val="24"/>
          <w:szCs w:val="24"/>
          <w:lang w:val="en-US"/>
        </w:rPr>
        <w:t>Ontario’s local public library boards are </w:t>
      </w:r>
      <w:r w:rsidRPr="002954DA">
        <w:rPr>
          <w:rFonts w:ascii="Arial" w:hAnsi="Arial" w:cs="Arial"/>
          <w:b/>
          <w:bCs/>
          <w:sz w:val="24"/>
          <w:szCs w:val="24"/>
          <w:lang w:val="en-US"/>
        </w:rPr>
        <w:t>voluntary &amp; community-led</w:t>
      </w:r>
      <w:r w:rsidRPr="002954DA">
        <w:rPr>
          <w:rFonts w:ascii="Arial" w:hAnsi="Arial" w:cs="Arial"/>
          <w:sz w:val="24"/>
          <w:szCs w:val="24"/>
          <w:lang w:val="en-US"/>
        </w:rPr>
        <w:t>. </w:t>
      </w:r>
      <w:r w:rsidR="00C5642A" w:rsidRPr="002954DA">
        <w:rPr>
          <w:rFonts w:ascii="Arial" w:hAnsi="Arial" w:cs="Arial"/>
          <w:b/>
          <w:bCs/>
          <w:sz w:val="24"/>
          <w:szCs w:val="24"/>
          <w:lang w:val="en-US"/>
        </w:rPr>
        <w:t xml:space="preserve"> </w:t>
      </w:r>
      <w:r w:rsidRPr="002954DA">
        <w:rPr>
          <w:rFonts w:ascii="Arial" w:hAnsi="Arial" w:cs="Arial"/>
          <w:b/>
          <w:bCs/>
          <w:sz w:val="24"/>
          <w:szCs w:val="24"/>
          <w:lang w:val="en-US"/>
        </w:rPr>
        <w:t>All of Ontario’s local library board trustees are unpaid</w:t>
      </w:r>
      <w:r w:rsidRPr="002954DA">
        <w:rPr>
          <w:rFonts w:ascii="Arial" w:hAnsi="Arial" w:cs="Arial"/>
          <w:sz w:val="24"/>
          <w:szCs w:val="24"/>
          <w:lang w:val="en-US"/>
        </w:rPr>
        <w:t>, and take on these important roles to ensure that the public library is able to sustainably deliver critical resources and services to the people of their communities.</w:t>
      </w:r>
      <w:r w:rsidR="00C62645" w:rsidRPr="002954DA">
        <w:rPr>
          <w:rFonts w:ascii="Arial" w:hAnsi="Arial" w:cs="Arial"/>
          <w:sz w:val="24"/>
          <w:szCs w:val="24"/>
          <w:lang w:val="en-US"/>
        </w:rPr>
        <w:t xml:space="preserve">  </w:t>
      </w:r>
    </w:p>
    <w:p w:rsidR="00715B77" w:rsidRPr="002954DA" w:rsidRDefault="00715B77" w:rsidP="002954DA">
      <w:pPr>
        <w:rPr>
          <w:rFonts w:ascii="Arial" w:hAnsi="Arial" w:cs="Arial"/>
          <w:sz w:val="24"/>
          <w:szCs w:val="24"/>
        </w:rPr>
      </w:pPr>
      <w:r w:rsidRPr="002954DA">
        <w:rPr>
          <w:rFonts w:ascii="Arial" w:hAnsi="Arial" w:cs="Arial"/>
          <w:sz w:val="24"/>
          <w:szCs w:val="24"/>
          <w:lang w:val="en-US"/>
        </w:rPr>
        <w:t>Local public library boards are </w:t>
      </w:r>
      <w:r w:rsidRPr="002954DA">
        <w:rPr>
          <w:rFonts w:ascii="Arial" w:hAnsi="Arial" w:cs="Arial"/>
          <w:b/>
          <w:bCs/>
          <w:sz w:val="24"/>
          <w:szCs w:val="24"/>
          <w:lang w:val="en-US"/>
        </w:rPr>
        <w:t>independent from local municipal government</w:t>
      </w:r>
      <w:r w:rsidRPr="002954DA">
        <w:rPr>
          <w:rFonts w:ascii="Arial" w:hAnsi="Arial" w:cs="Arial"/>
          <w:sz w:val="24"/>
          <w:szCs w:val="24"/>
          <w:lang w:val="en-US"/>
        </w:rPr>
        <w:t>, while at the same time are </w:t>
      </w:r>
      <w:r w:rsidRPr="002954DA">
        <w:rPr>
          <w:rFonts w:ascii="Arial" w:hAnsi="Arial" w:cs="Arial"/>
          <w:b/>
          <w:bCs/>
          <w:sz w:val="24"/>
          <w:szCs w:val="24"/>
          <w:lang w:val="en-US"/>
        </w:rPr>
        <w:t>focused on responding to the needs and character of their communities</w:t>
      </w:r>
      <w:r w:rsidRPr="002954DA">
        <w:rPr>
          <w:rFonts w:ascii="Arial" w:hAnsi="Arial" w:cs="Arial"/>
          <w:sz w:val="24"/>
          <w:szCs w:val="24"/>
          <w:lang w:val="en-US"/>
        </w:rPr>
        <w:t xml:space="preserve">. </w:t>
      </w:r>
    </w:p>
    <w:p w:rsidR="00C5642A" w:rsidRPr="002144EA" w:rsidRDefault="00715B77" w:rsidP="002954DA">
      <w:pPr>
        <w:rPr>
          <w:rFonts w:ascii="Arial" w:hAnsi="Arial" w:cs="Arial"/>
          <w:sz w:val="24"/>
          <w:szCs w:val="24"/>
          <w:lang w:val="en-US"/>
        </w:rPr>
      </w:pPr>
      <w:r w:rsidRPr="002954DA">
        <w:rPr>
          <w:rFonts w:ascii="Arial" w:hAnsi="Arial" w:cs="Arial"/>
          <w:sz w:val="24"/>
          <w:szCs w:val="24"/>
          <w:lang w:val="en-US"/>
        </w:rPr>
        <w:t>This local &amp; independent tradition, which has existed for over a century and is set out in the </w:t>
      </w:r>
      <w:r w:rsidRPr="002954DA">
        <w:rPr>
          <w:rFonts w:ascii="Arial" w:hAnsi="Arial" w:cs="Arial"/>
          <w:i/>
          <w:iCs/>
          <w:sz w:val="24"/>
          <w:szCs w:val="24"/>
          <w:lang w:val="en-US"/>
        </w:rPr>
        <w:t>Public Libraries Act</w:t>
      </w:r>
      <w:r w:rsidRPr="002954DA">
        <w:rPr>
          <w:rFonts w:ascii="Arial" w:hAnsi="Arial" w:cs="Arial"/>
          <w:sz w:val="24"/>
          <w:szCs w:val="24"/>
          <w:lang w:val="en-US"/>
        </w:rPr>
        <w:t>, and is what </w:t>
      </w:r>
      <w:r w:rsidRPr="002954DA">
        <w:rPr>
          <w:rFonts w:ascii="Arial" w:hAnsi="Arial" w:cs="Arial"/>
          <w:b/>
          <w:bCs/>
          <w:sz w:val="24"/>
          <w:szCs w:val="24"/>
          <w:lang w:val="en-US"/>
        </w:rPr>
        <w:t xml:space="preserve">sets public library boards apart from other </w:t>
      </w:r>
      <w:r w:rsidR="002954DA" w:rsidRPr="002954DA">
        <w:rPr>
          <w:rFonts w:ascii="Arial" w:hAnsi="Arial" w:cs="Arial"/>
          <w:b/>
          <w:bCs/>
          <w:sz w:val="24"/>
          <w:szCs w:val="24"/>
          <w:lang w:val="en-US"/>
        </w:rPr>
        <w:t xml:space="preserve">‘advisory’ </w:t>
      </w:r>
      <w:r w:rsidRPr="002954DA">
        <w:rPr>
          <w:rFonts w:ascii="Arial" w:hAnsi="Arial" w:cs="Arial"/>
          <w:b/>
          <w:bCs/>
          <w:sz w:val="24"/>
          <w:szCs w:val="24"/>
          <w:lang w:val="en-US"/>
        </w:rPr>
        <w:t>municipal boards</w:t>
      </w:r>
      <w:r w:rsidRPr="002954DA">
        <w:rPr>
          <w:rFonts w:ascii="Arial" w:hAnsi="Arial" w:cs="Arial"/>
          <w:sz w:val="24"/>
          <w:szCs w:val="24"/>
          <w:lang w:val="en-US"/>
        </w:rPr>
        <w:t> established under the </w:t>
      </w:r>
      <w:r w:rsidRPr="002954DA">
        <w:rPr>
          <w:rFonts w:ascii="Arial" w:hAnsi="Arial" w:cs="Arial"/>
          <w:i/>
          <w:iCs/>
          <w:sz w:val="24"/>
          <w:szCs w:val="24"/>
          <w:lang w:val="en-US"/>
        </w:rPr>
        <w:t>Municipal Act</w:t>
      </w:r>
      <w:r w:rsidR="002144EA">
        <w:rPr>
          <w:rFonts w:ascii="Arial" w:hAnsi="Arial" w:cs="Arial"/>
          <w:i/>
          <w:iCs/>
          <w:sz w:val="24"/>
          <w:szCs w:val="24"/>
          <w:lang w:val="en-US"/>
        </w:rPr>
        <w:t xml:space="preserve"> </w:t>
      </w:r>
      <w:r w:rsidR="002144EA" w:rsidRPr="002144EA">
        <w:rPr>
          <w:rFonts w:ascii="Arial" w:hAnsi="Arial" w:cs="Arial"/>
          <w:iCs/>
          <w:sz w:val="24"/>
          <w:szCs w:val="24"/>
          <w:lang w:val="en-US"/>
        </w:rPr>
        <w:t xml:space="preserve">and is </w:t>
      </w:r>
      <w:r w:rsidR="002144EA">
        <w:rPr>
          <w:rFonts w:ascii="Arial" w:hAnsi="Arial" w:cs="Arial"/>
          <w:iCs/>
          <w:sz w:val="24"/>
          <w:szCs w:val="24"/>
          <w:lang w:val="en-US"/>
        </w:rPr>
        <w:t xml:space="preserve">key to our </w:t>
      </w:r>
      <w:r w:rsidR="002144EA" w:rsidRPr="002144EA">
        <w:rPr>
          <w:rFonts w:ascii="Arial" w:hAnsi="Arial" w:cs="Arial"/>
          <w:iCs/>
          <w:sz w:val="24"/>
          <w:szCs w:val="24"/>
          <w:lang w:val="en-US"/>
        </w:rPr>
        <w:t>success</w:t>
      </w:r>
      <w:r w:rsidRPr="002144EA">
        <w:rPr>
          <w:rFonts w:ascii="Arial" w:hAnsi="Arial" w:cs="Arial"/>
          <w:sz w:val="24"/>
          <w:szCs w:val="24"/>
          <w:lang w:val="en-US"/>
        </w:rPr>
        <w:t>.</w:t>
      </w:r>
      <w:r w:rsidR="00C62645" w:rsidRPr="002144EA">
        <w:rPr>
          <w:rFonts w:ascii="Arial" w:hAnsi="Arial" w:cs="Arial"/>
          <w:sz w:val="24"/>
          <w:szCs w:val="24"/>
          <w:lang w:val="en-US"/>
        </w:rPr>
        <w:t xml:space="preserve">  </w:t>
      </w:r>
    </w:p>
    <w:p w:rsidR="00C5642A" w:rsidRPr="002144EA" w:rsidRDefault="00C5642A" w:rsidP="002144EA">
      <w:pPr>
        <w:rPr>
          <w:rFonts w:ascii="Arial" w:hAnsi="Arial" w:cs="Arial"/>
          <w:b/>
          <w:sz w:val="24"/>
          <w:szCs w:val="24"/>
          <w:lang w:val="en-US"/>
        </w:rPr>
      </w:pPr>
      <w:r w:rsidRPr="00CA0641">
        <w:rPr>
          <w:rFonts w:ascii="Arial" w:hAnsi="Arial" w:cs="Arial"/>
          <w:b/>
          <w:sz w:val="24"/>
          <w:szCs w:val="24"/>
          <w:lang w:val="en-US"/>
        </w:rPr>
        <w:t>We ask that these frameworks be maintained so that “The People” continue to have their voice in the running of the</w:t>
      </w:r>
      <w:r w:rsidR="00CA0641">
        <w:rPr>
          <w:rFonts w:ascii="Arial" w:hAnsi="Arial" w:cs="Arial"/>
          <w:b/>
          <w:sz w:val="24"/>
          <w:szCs w:val="24"/>
          <w:lang w:val="en-US"/>
        </w:rPr>
        <w:t>ir favourite local institution</w:t>
      </w:r>
      <w:r w:rsidR="00C62645" w:rsidRPr="00C5642A">
        <w:rPr>
          <w:rFonts w:ascii="Arial" w:hAnsi="Arial" w:cs="Arial"/>
          <w:sz w:val="24"/>
        </w:rPr>
        <w:t>– even if this creates an asymmetrical system.</w:t>
      </w:r>
    </w:p>
    <w:p w:rsidR="00715B77" w:rsidRDefault="00715B77" w:rsidP="00CA0641">
      <w:pPr>
        <w:pStyle w:val="NoSpacing"/>
        <w:rPr>
          <w:rFonts w:ascii="Arial" w:hAnsi="Arial" w:cs="Arial"/>
          <w:b/>
          <w:sz w:val="24"/>
          <w:szCs w:val="24"/>
          <w:lang w:val="en-US"/>
        </w:rPr>
      </w:pPr>
      <w:r w:rsidRPr="002144EA">
        <w:rPr>
          <w:rFonts w:ascii="Arial" w:hAnsi="Arial" w:cs="Arial"/>
          <w:sz w:val="24"/>
        </w:rPr>
        <w:t>We also welcome the oppor</w:t>
      </w:r>
      <w:r w:rsidR="002144EA">
        <w:rPr>
          <w:rFonts w:ascii="Arial" w:hAnsi="Arial" w:cs="Arial"/>
          <w:sz w:val="24"/>
        </w:rPr>
        <w:t>tunity to work together with</w:t>
      </w:r>
      <w:r w:rsidRPr="002144EA">
        <w:rPr>
          <w:rFonts w:ascii="Arial" w:hAnsi="Arial" w:cs="Arial"/>
          <w:sz w:val="24"/>
        </w:rPr>
        <w:t xml:space="preserve"> </w:t>
      </w:r>
      <w:r w:rsidR="00C5642A" w:rsidRPr="002144EA">
        <w:rPr>
          <w:rFonts w:ascii="Arial" w:hAnsi="Arial" w:cs="Arial"/>
          <w:sz w:val="24"/>
        </w:rPr>
        <w:t>O</w:t>
      </w:r>
      <w:r w:rsidRPr="002144EA">
        <w:rPr>
          <w:rFonts w:ascii="Arial" w:hAnsi="Arial" w:cs="Arial"/>
          <w:sz w:val="24"/>
        </w:rPr>
        <w:t>ntario to address outdated red tape that will help our local public library boards deliver essential resources and services even more cost-effectively.</w:t>
      </w:r>
      <w:r w:rsidR="00CA0641" w:rsidRPr="002144EA">
        <w:rPr>
          <w:rFonts w:ascii="Arial" w:hAnsi="Arial" w:cs="Arial"/>
          <w:sz w:val="24"/>
        </w:rPr>
        <w:t xml:space="preserve"> </w:t>
      </w:r>
      <w:r w:rsidR="00C5642A" w:rsidRPr="002144EA">
        <w:rPr>
          <w:rFonts w:ascii="Arial" w:hAnsi="Arial" w:cs="Arial"/>
          <w:sz w:val="24"/>
        </w:rPr>
        <w:t>O</w:t>
      </w:r>
      <w:r w:rsidRPr="002144EA">
        <w:rPr>
          <w:rFonts w:ascii="Arial" w:hAnsi="Arial" w:cs="Arial"/>
          <w:sz w:val="24"/>
        </w:rPr>
        <w:t>ur cooperative agencies</w:t>
      </w:r>
      <w:r w:rsidR="00C62645" w:rsidRPr="002144EA">
        <w:rPr>
          <w:rFonts w:ascii="Arial" w:hAnsi="Arial" w:cs="Arial"/>
          <w:sz w:val="24"/>
        </w:rPr>
        <w:t xml:space="preserve"> SOLS and OLS-North</w:t>
      </w:r>
      <w:r w:rsidRPr="002144EA">
        <w:rPr>
          <w:rFonts w:ascii="Arial" w:hAnsi="Arial" w:cs="Arial"/>
          <w:sz w:val="24"/>
        </w:rPr>
        <w:t xml:space="preserve"> </w:t>
      </w:r>
      <w:r w:rsidRPr="002144EA">
        <w:rPr>
          <w:rFonts w:ascii="Arial" w:hAnsi="Arial" w:cs="Arial"/>
          <w:sz w:val="24"/>
        </w:rPr>
        <w:lastRenderedPageBreak/>
        <w:t xml:space="preserve">ensure </w:t>
      </w:r>
      <w:r w:rsidR="00C62645" w:rsidRPr="002144EA">
        <w:rPr>
          <w:rFonts w:ascii="Arial" w:hAnsi="Arial" w:cs="Arial"/>
          <w:sz w:val="24"/>
        </w:rPr>
        <w:t xml:space="preserve">very high </w:t>
      </w:r>
      <w:r w:rsidRPr="002144EA">
        <w:rPr>
          <w:rFonts w:ascii="Arial" w:hAnsi="Arial" w:cs="Arial"/>
          <w:sz w:val="24"/>
        </w:rPr>
        <w:t>cost-effectiveness and efficiencies in local library operations</w:t>
      </w:r>
      <w:r w:rsidR="00C5642A" w:rsidRPr="002144EA">
        <w:rPr>
          <w:rFonts w:ascii="Arial" w:hAnsi="Arial" w:cs="Arial"/>
          <w:sz w:val="24"/>
        </w:rPr>
        <w:t xml:space="preserve"> by providing frameworks for collaboration at the provincial level.</w:t>
      </w:r>
      <w:r w:rsidR="00C5642A" w:rsidRPr="002144EA">
        <w:rPr>
          <w:rFonts w:ascii="Arial" w:hAnsi="Arial" w:cs="Arial"/>
          <w:sz w:val="28"/>
          <w:szCs w:val="24"/>
          <w:lang w:val="en-US"/>
        </w:rPr>
        <w:t xml:space="preserve">  </w:t>
      </w:r>
      <w:r w:rsidR="00C5642A" w:rsidRPr="00C5642A">
        <w:rPr>
          <w:rFonts w:ascii="Arial" w:hAnsi="Arial" w:cs="Arial"/>
          <w:b/>
          <w:sz w:val="24"/>
          <w:szCs w:val="24"/>
          <w:lang w:val="en-US"/>
        </w:rPr>
        <w:t xml:space="preserve">Despite recent </w:t>
      </w:r>
      <w:r w:rsidR="00C5642A">
        <w:rPr>
          <w:rFonts w:ascii="Arial" w:hAnsi="Arial" w:cs="Arial"/>
          <w:b/>
          <w:sz w:val="24"/>
          <w:szCs w:val="24"/>
          <w:lang w:val="en-US"/>
        </w:rPr>
        <w:t xml:space="preserve">agency </w:t>
      </w:r>
      <w:r w:rsidR="00C5642A" w:rsidRPr="00C5642A">
        <w:rPr>
          <w:rFonts w:ascii="Arial" w:hAnsi="Arial" w:cs="Arial"/>
          <w:b/>
          <w:sz w:val="24"/>
          <w:szCs w:val="24"/>
          <w:lang w:val="en-US"/>
        </w:rPr>
        <w:t>funding cuts</w:t>
      </w:r>
      <w:r w:rsidR="00C5642A">
        <w:rPr>
          <w:rFonts w:ascii="Arial" w:hAnsi="Arial" w:cs="Arial"/>
          <w:b/>
          <w:sz w:val="24"/>
          <w:szCs w:val="24"/>
          <w:lang w:val="en-US"/>
        </w:rPr>
        <w:t>,</w:t>
      </w:r>
      <w:r w:rsidR="00C5642A" w:rsidRPr="00C5642A">
        <w:rPr>
          <w:rFonts w:ascii="Arial" w:hAnsi="Arial" w:cs="Arial"/>
          <w:b/>
          <w:sz w:val="24"/>
          <w:szCs w:val="24"/>
          <w:lang w:val="en-US"/>
        </w:rPr>
        <w:t xml:space="preserve"> care should be taken to look for provincial synergies rather than regional government </w:t>
      </w:r>
      <w:r w:rsidR="00C5642A">
        <w:rPr>
          <w:rFonts w:ascii="Arial" w:hAnsi="Arial" w:cs="Arial"/>
          <w:b/>
          <w:sz w:val="24"/>
          <w:szCs w:val="24"/>
          <w:lang w:val="en-US"/>
        </w:rPr>
        <w:t>controls that could damage the effectiveness delivered through decades of cooperation.</w:t>
      </w:r>
    </w:p>
    <w:p w:rsidR="00CA0641" w:rsidRPr="00C5642A" w:rsidRDefault="00CA0641" w:rsidP="00CA0641">
      <w:pPr>
        <w:pStyle w:val="NoSpacing"/>
        <w:rPr>
          <w:rFonts w:ascii="Arial" w:hAnsi="Arial" w:cs="Arial"/>
          <w:b/>
          <w:sz w:val="24"/>
          <w:szCs w:val="24"/>
        </w:rPr>
      </w:pPr>
    </w:p>
    <w:p w:rsidR="009A4977" w:rsidRPr="00121871" w:rsidRDefault="00121871">
      <w:pPr>
        <w:rPr>
          <w:rFonts w:ascii="Arial" w:hAnsi="Arial" w:cs="Arial"/>
          <w:sz w:val="24"/>
          <w:szCs w:val="24"/>
        </w:rPr>
      </w:pPr>
      <w:r w:rsidRPr="00121871">
        <w:rPr>
          <w:rFonts w:ascii="Arial" w:hAnsi="Arial" w:cs="Arial"/>
          <w:sz w:val="24"/>
          <w:szCs w:val="24"/>
        </w:rPr>
        <w:t>We appreciate the opportunity to contribute to the Minister of Municipal Affairs Regional Government Consultations and look forward to building upon our long-standing partnership with the Ontario Government.</w:t>
      </w:r>
    </w:p>
    <w:sectPr w:rsidR="009A4977" w:rsidRPr="00121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B2C"/>
    <w:multiLevelType w:val="hybridMultilevel"/>
    <w:tmpl w:val="F8684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402D3"/>
    <w:multiLevelType w:val="hybridMultilevel"/>
    <w:tmpl w:val="058AEA16"/>
    <w:lvl w:ilvl="0" w:tplc="14B26752">
      <w:start w:val="1"/>
      <w:numFmt w:val="bullet"/>
      <w:lvlText w:val=""/>
      <w:lvlJc w:val="left"/>
      <w:pPr>
        <w:tabs>
          <w:tab w:val="num" w:pos="720"/>
        </w:tabs>
        <w:ind w:left="720" w:hanging="360"/>
      </w:pPr>
      <w:rPr>
        <w:rFonts w:ascii="Wingdings 2" w:hAnsi="Wingdings 2" w:hint="default"/>
      </w:rPr>
    </w:lvl>
    <w:lvl w:ilvl="1" w:tplc="13D8CB86" w:tentative="1">
      <w:start w:val="1"/>
      <w:numFmt w:val="bullet"/>
      <w:lvlText w:val=""/>
      <w:lvlJc w:val="left"/>
      <w:pPr>
        <w:tabs>
          <w:tab w:val="num" w:pos="1440"/>
        </w:tabs>
        <w:ind w:left="1440" w:hanging="360"/>
      </w:pPr>
      <w:rPr>
        <w:rFonts w:ascii="Wingdings 2" w:hAnsi="Wingdings 2" w:hint="default"/>
      </w:rPr>
    </w:lvl>
    <w:lvl w:ilvl="2" w:tplc="582AC71A" w:tentative="1">
      <w:start w:val="1"/>
      <w:numFmt w:val="bullet"/>
      <w:lvlText w:val=""/>
      <w:lvlJc w:val="left"/>
      <w:pPr>
        <w:tabs>
          <w:tab w:val="num" w:pos="2160"/>
        </w:tabs>
        <w:ind w:left="2160" w:hanging="360"/>
      </w:pPr>
      <w:rPr>
        <w:rFonts w:ascii="Wingdings 2" w:hAnsi="Wingdings 2" w:hint="default"/>
      </w:rPr>
    </w:lvl>
    <w:lvl w:ilvl="3" w:tplc="DF986102" w:tentative="1">
      <w:start w:val="1"/>
      <w:numFmt w:val="bullet"/>
      <w:lvlText w:val=""/>
      <w:lvlJc w:val="left"/>
      <w:pPr>
        <w:tabs>
          <w:tab w:val="num" w:pos="2880"/>
        </w:tabs>
        <w:ind w:left="2880" w:hanging="360"/>
      </w:pPr>
      <w:rPr>
        <w:rFonts w:ascii="Wingdings 2" w:hAnsi="Wingdings 2" w:hint="default"/>
      </w:rPr>
    </w:lvl>
    <w:lvl w:ilvl="4" w:tplc="1F0EE2F4" w:tentative="1">
      <w:start w:val="1"/>
      <w:numFmt w:val="bullet"/>
      <w:lvlText w:val=""/>
      <w:lvlJc w:val="left"/>
      <w:pPr>
        <w:tabs>
          <w:tab w:val="num" w:pos="3600"/>
        </w:tabs>
        <w:ind w:left="3600" w:hanging="360"/>
      </w:pPr>
      <w:rPr>
        <w:rFonts w:ascii="Wingdings 2" w:hAnsi="Wingdings 2" w:hint="default"/>
      </w:rPr>
    </w:lvl>
    <w:lvl w:ilvl="5" w:tplc="5E7AF67C" w:tentative="1">
      <w:start w:val="1"/>
      <w:numFmt w:val="bullet"/>
      <w:lvlText w:val=""/>
      <w:lvlJc w:val="left"/>
      <w:pPr>
        <w:tabs>
          <w:tab w:val="num" w:pos="4320"/>
        </w:tabs>
        <w:ind w:left="4320" w:hanging="360"/>
      </w:pPr>
      <w:rPr>
        <w:rFonts w:ascii="Wingdings 2" w:hAnsi="Wingdings 2" w:hint="default"/>
      </w:rPr>
    </w:lvl>
    <w:lvl w:ilvl="6" w:tplc="9098818E" w:tentative="1">
      <w:start w:val="1"/>
      <w:numFmt w:val="bullet"/>
      <w:lvlText w:val=""/>
      <w:lvlJc w:val="left"/>
      <w:pPr>
        <w:tabs>
          <w:tab w:val="num" w:pos="5040"/>
        </w:tabs>
        <w:ind w:left="5040" w:hanging="360"/>
      </w:pPr>
      <w:rPr>
        <w:rFonts w:ascii="Wingdings 2" w:hAnsi="Wingdings 2" w:hint="default"/>
      </w:rPr>
    </w:lvl>
    <w:lvl w:ilvl="7" w:tplc="C6C290DE" w:tentative="1">
      <w:start w:val="1"/>
      <w:numFmt w:val="bullet"/>
      <w:lvlText w:val=""/>
      <w:lvlJc w:val="left"/>
      <w:pPr>
        <w:tabs>
          <w:tab w:val="num" w:pos="5760"/>
        </w:tabs>
        <w:ind w:left="5760" w:hanging="360"/>
      </w:pPr>
      <w:rPr>
        <w:rFonts w:ascii="Wingdings 2" w:hAnsi="Wingdings 2" w:hint="default"/>
      </w:rPr>
    </w:lvl>
    <w:lvl w:ilvl="8" w:tplc="3EDCD47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A9F1F50"/>
    <w:multiLevelType w:val="multilevel"/>
    <w:tmpl w:val="F450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3A2F1B"/>
    <w:multiLevelType w:val="hybridMultilevel"/>
    <w:tmpl w:val="C4626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396EDD"/>
    <w:multiLevelType w:val="hybridMultilevel"/>
    <w:tmpl w:val="08CE4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977"/>
    <w:rsid w:val="00121871"/>
    <w:rsid w:val="0015638B"/>
    <w:rsid w:val="002144EA"/>
    <w:rsid w:val="00237D80"/>
    <w:rsid w:val="002954DA"/>
    <w:rsid w:val="00394E72"/>
    <w:rsid w:val="005D7869"/>
    <w:rsid w:val="005F6A7E"/>
    <w:rsid w:val="006410B1"/>
    <w:rsid w:val="00715B77"/>
    <w:rsid w:val="00884BCF"/>
    <w:rsid w:val="009903D2"/>
    <w:rsid w:val="009A4977"/>
    <w:rsid w:val="00C5642A"/>
    <w:rsid w:val="00C62645"/>
    <w:rsid w:val="00CA0641"/>
    <w:rsid w:val="00E70465"/>
    <w:rsid w:val="00ED37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72571"/>
  <w15:chartTrackingRefBased/>
  <w15:docId w15:val="{0D4873B0-2248-4E93-9657-41CD1763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84BC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A4977"/>
  </w:style>
  <w:style w:type="paragraph" w:styleId="ListParagraph">
    <w:name w:val="List Paragraph"/>
    <w:basedOn w:val="Normal"/>
    <w:uiPriority w:val="34"/>
    <w:qFormat/>
    <w:rsid w:val="00715B77"/>
    <w:pPr>
      <w:spacing w:after="200" w:line="276" w:lineRule="auto"/>
      <w:ind w:left="720"/>
      <w:contextualSpacing/>
    </w:pPr>
  </w:style>
  <w:style w:type="character" w:styleId="Hyperlink">
    <w:name w:val="Hyperlink"/>
    <w:basedOn w:val="DefaultParagraphFont"/>
    <w:uiPriority w:val="99"/>
    <w:unhideWhenUsed/>
    <w:rsid w:val="00ED374D"/>
    <w:rPr>
      <w:color w:val="0563C1" w:themeColor="hyperlink"/>
      <w:u w:val="single"/>
    </w:rPr>
  </w:style>
  <w:style w:type="paragraph" w:styleId="NoSpacing">
    <w:name w:val="No Spacing"/>
    <w:uiPriority w:val="1"/>
    <w:qFormat/>
    <w:rsid w:val="00ED374D"/>
    <w:pPr>
      <w:spacing w:after="0" w:line="240" w:lineRule="auto"/>
    </w:pPr>
  </w:style>
  <w:style w:type="character" w:customStyle="1" w:styleId="Heading3Char">
    <w:name w:val="Heading 3 Char"/>
    <w:basedOn w:val="DefaultParagraphFont"/>
    <w:link w:val="Heading3"/>
    <w:uiPriority w:val="9"/>
    <w:rsid w:val="00884BCF"/>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884BC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258">
      <w:bodyDiv w:val="1"/>
      <w:marLeft w:val="0"/>
      <w:marRight w:val="0"/>
      <w:marTop w:val="0"/>
      <w:marBottom w:val="0"/>
      <w:divBdr>
        <w:top w:val="none" w:sz="0" w:space="0" w:color="auto"/>
        <w:left w:val="none" w:sz="0" w:space="0" w:color="auto"/>
        <w:bottom w:val="none" w:sz="0" w:space="0" w:color="auto"/>
        <w:right w:val="none" w:sz="0" w:space="0" w:color="auto"/>
      </w:divBdr>
    </w:div>
    <w:div w:id="1202132931">
      <w:bodyDiv w:val="1"/>
      <w:marLeft w:val="0"/>
      <w:marRight w:val="0"/>
      <w:marTop w:val="0"/>
      <w:marBottom w:val="0"/>
      <w:divBdr>
        <w:top w:val="none" w:sz="0" w:space="0" w:color="auto"/>
        <w:left w:val="none" w:sz="0" w:space="0" w:color="auto"/>
        <w:bottom w:val="none" w:sz="0" w:space="0" w:color="auto"/>
        <w:right w:val="none" w:sz="0" w:space="0" w:color="auto"/>
      </w:divBdr>
    </w:div>
    <w:div w:id="1710107281">
      <w:bodyDiv w:val="1"/>
      <w:marLeft w:val="0"/>
      <w:marRight w:val="0"/>
      <w:marTop w:val="0"/>
      <w:marBottom w:val="0"/>
      <w:divBdr>
        <w:top w:val="none" w:sz="0" w:space="0" w:color="auto"/>
        <w:left w:val="none" w:sz="0" w:space="0" w:color="auto"/>
        <w:bottom w:val="none" w:sz="0" w:space="0" w:color="auto"/>
        <w:right w:val="none" w:sz="0" w:space="0" w:color="auto"/>
      </w:divBdr>
      <w:divsChild>
        <w:div w:id="1748382861">
          <w:marLeft w:val="475"/>
          <w:marRight w:val="0"/>
          <w:marTop w:val="77"/>
          <w:marBottom w:val="120"/>
          <w:divBdr>
            <w:top w:val="none" w:sz="0" w:space="0" w:color="auto"/>
            <w:left w:val="none" w:sz="0" w:space="0" w:color="auto"/>
            <w:bottom w:val="none" w:sz="0" w:space="0" w:color="auto"/>
            <w:right w:val="none" w:sz="0" w:space="0" w:color="auto"/>
          </w:divBdr>
        </w:div>
        <w:div w:id="329452415">
          <w:marLeft w:val="475"/>
          <w:marRight w:val="0"/>
          <w:marTop w:val="77"/>
          <w:marBottom w:val="120"/>
          <w:divBdr>
            <w:top w:val="none" w:sz="0" w:space="0" w:color="auto"/>
            <w:left w:val="none" w:sz="0" w:space="0" w:color="auto"/>
            <w:bottom w:val="none" w:sz="0" w:space="0" w:color="auto"/>
            <w:right w:val="none" w:sz="0" w:space="0" w:color="auto"/>
          </w:divBdr>
        </w:div>
        <w:div w:id="55864456">
          <w:marLeft w:val="475"/>
          <w:marRight w:val="0"/>
          <w:marTop w:val="77"/>
          <w:marBottom w:val="120"/>
          <w:divBdr>
            <w:top w:val="none" w:sz="0" w:space="0" w:color="auto"/>
            <w:left w:val="none" w:sz="0" w:space="0" w:color="auto"/>
            <w:bottom w:val="none" w:sz="0" w:space="0" w:color="auto"/>
            <w:right w:val="none" w:sz="0" w:space="0" w:color="auto"/>
          </w:divBdr>
        </w:div>
        <w:div w:id="101808712">
          <w:marLeft w:val="475"/>
          <w:marRight w:val="0"/>
          <w:marTop w:val="77"/>
          <w:marBottom w:val="120"/>
          <w:divBdr>
            <w:top w:val="none" w:sz="0" w:space="0" w:color="auto"/>
            <w:left w:val="none" w:sz="0" w:space="0" w:color="auto"/>
            <w:bottom w:val="none" w:sz="0" w:space="0" w:color="auto"/>
            <w:right w:val="none" w:sz="0" w:space="0" w:color="auto"/>
          </w:divBdr>
        </w:div>
        <w:div w:id="1483807910">
          <w:marLeft w:val="475"/>
          <w:marRight w:val="0"/>
          <w:marTop w:val="77"/>
          <w:marBottom w:val="120"/>
          <w:divBdr>
            <w:top w:val="none" w:sz="0" w:space="0" w:color="auto"/>
            <w:left w:val="none" w:sz="0" w:space="0" w:color="auto"/>
            <w:bottom w:val="none" w:sz="0" w:space="0" w:color="auto"/>
            <w:right w:val="none" w:sz="0" w:space="0" w:color="auto"/>
          </w:divBdr>
        </w:div>
        <w:div w:id="1171986448">
          <w:marLeft w:val="475"/>
          <w:marRight w:val="0"/>
          <w:marTop w:val="77"/>
          <w:marBottom w:val="120"/>
          <w:divBdr>
            <w:top w:val="none" w:sz="0" w:space="0" w:color="auto"/>
            <w:left w:val="none" w:sz="0" w:space="0" w:color="auto"/>
            <w:bottom w:val="none" w:sz="0" w:space="0" w:color="auto"/>
            <w:right w:val="none" w:sz="0" w:space="0" w:color="auto"/>
          </w:divBdr>
        </w:div>
        <w:div w:id="408044435">
          <w:marLeft w:val="475"/>
          <w:marRight w:val="0"/>
          <w:marTop w:val="77"/>
          <w:marBottom w:val="120"/>
          <w:divBdr>
            <w:top w:val="none" w:sz="0" w:space="0" w:color="auto"/>
            <w:left w:val="none" w:sz="0" w:space="0" w:color="auto"/>
            <w:bottom w:val="none" w:sz="0" w:space="0" w:color="auto"/>
            <w:right w:val="none" w:sz="0" w:space="0" w:color="auto"/>
          </w:divBdr>
        </w:div>
        <w:div w:id="545025267">
          <w:marLeft w:val="475"/>
          <w:marRight w:val="0"/>
          <w:marTop w:val="77"/>
          <w:marBottom w:val="120"/>
          <w:divBdr>
            <w:top w:val="none" w:sz="0" w:space="0" w:color="auto"/>
            <w:left w:val="none" w:sz="0" w:space="0" w:color="auto"/>
            <w:bottom w:val="none" w:sz="0" w:space="0" w:color="auto"/>
            <w:right w:val="none" w:sz="0" w:space="0" w:color="auto"/>
          </w:divBdr>
        </w:div>
        <w:div w:id="34165191">
          <w:marLeft w:val="475"/>
          <w:marRight w:val="0"/>
          <w:marTop w:val="77"/>
          <w:marBottom w:val="120"/>
          <w:divBdr>
            <w:top w:val="none" w:sz="0" w:space="0" w:color="auto"/>
            <w:left w:val="none" w:sz="0" w:space="0" w:color="auto"/>
            <w:bottom w:val="none" w:sz="0" w:space="0" w:color="auto"/>
            <w:right w:val="none" w:sz="0" w:space="0" w:color="auto"/>
          </w:divBdr>
        </w:div>
      </w:divsChild>
    </w:div>
    <w:div w:id="17691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algovreview@ontario.ca" TargetMode="External"/><Relationship Id="rId3" Type="http://schemas.openxmlformats.org/officeDocument/2006/relationships/settings" Target="settings.xml"/><Relationship Id="rId7" Type="http://schemas.openxmlformats.org/officeDocument/2006/relationships/hyperlink" Target="mailto:sabram@fop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Abram</dc:creator>
  <cp:keywords/>
  <dc:description/>
  <cp:lastModifiedBy>Stephen Abram</cp:lastModifiedBy>
  <cp:revision>2</cp:revision>
  <dcterms:created xsi:type="dcterms:W3CDTF">2019-05-25T16:19:00Z</dcterms:created>
  <dcterms:modified xsi:type="dcterms:W3CDTF">2019-05-25T16:19:00Z</dcterms:modified>
</cp:coreProperties>
</file>