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E625A2">
      <w:pPr>
        <w:spacing w:after="0" w:line="240" w:lineRule="auto"/>
        <w:jc w:val="center"/>
        <w:rPr>
          <w:b/>
          <w:bCs/>
          <w:sz w:val="40"/>
          <w:szCs w:val="40"/>
        </w:rPr>
      </w:pPr>
      <w:r>
        <w:rPr>
          <w:b/>
          <w:bCs/>
          <w:sz w:val="40"/>
          <w:szCs w:val="40"/>
        </w:rPr>
        <w:t xml:space="preserve">AGENDA ITEM </w:t>
      </w:r>
      <w:r w:rsidR="008510F2">
        <w:rPr>
          <w:b/>
          <w:bCs/>
          <w:sz w:val="40"/>
          <w:szCs w:val="40"/>
        </w:rPr>
        <w:t>DOC</w:t>
      </w:r>
      <w:r w:rsidR="00EB636E">
        <w:rPr>
          <w:b/>
          <w:bCs/>
          <w:sz w:val="40"/>
          <w:szCs w:val="40"/>
        </w:rPr>
        <w:t>7</w:t>
      </w:r>
    </w:p>
    <w:p w:rsidR="00D638C8" w:rsidRDefault="00D638C8" w:rsidP="00D638C8">
      <w:pPr>
        <w:spacing w:after="0" w:line="240" w:lineRule="auto"/>
      </w:pPr>
    </w:p>
    <w:p w:rsidR="00D638C8" w:rsidRPr="00380178" w:rsidRDefault="00D638C8" w:rsidP="004322CD">
      <w:pPr>
        <w:spacing w:after="0" w:line="240" w:lineRule="auto"/>
        <w:rPr>
          <w:b/>
          <w:bCs/>
        </w:rPr>
      </w:pPr>
      <w:r w:rsidRPr="00380178">
        <w:rPr>
          <w:b/>
          <w:bCs/>
        </w:rPr>
        <w:t xml:space="preserve">Subject:  </w:t>
      </w:r>
      <w:r w:rsidRPr="00380178">
        <w:rPr>
          <w:b/>
          <w:bCs/>
        </w:rPr>
        <w:tab/>
      </w:r>
      <w:r w:rsidRPr="00380178">
        <w:rPr>
          <w:b/>
          <w:bCs/>
        </w:rPr>
        <w:tab/>
      </w:r>
      <w:r w:rsidR="00EB636E">
        <w:rPr>
          <w:b/>
          <w:bCs/>
        </w:rPr>
        <w:t>Development Charges Briefing</w:t>
      </w:r>
    </w:p>
    <w:p w:rsidR="00D638C8" w:rsidRPr="00380178" w:rsidRDefault="00D638C8" w:rsidP="00C20C18">
      <w:pPr>
        <w:spacing w:after="0" w:line="240" w:lineRule="auto"/>
        <w:rPr>
          <w:b/>
          <w:bCs/>
        </w:rPr>
      </w:pPr>
      <w:r w:rsidRPr="00380178">
        <w:rPr>
          <w:b/>
          <w:bCs/>
        </w:rPr>
        <w:t>Date:</w:t>
      </w:r>
      <w:r w:rsidRPr="00380178">
        <w:rPr>
          <w:b/>
          <w:bCs/>
        </w:rPr>
        <w:tab/>
      </w:r>
      <w:r w:rsidRPr="00380178">
        <w:rPr>
          <w:b/>
          <w:bCs/>
        </w:rPr>
        <w:tab/>
      </w:r>
      <w:r w:rsidRPr="00380178">
        <w:rPr>
          <w:b/>
          <w:bCs/>
        </w:rPr>
        <w:tab/>
      </w:r>
      <w:r w:rsidR="00643086">
        <w:rPr>
          <w:b/>
          <w:bCs/>
        </w:rPr>
        <w:t>May 25, 2019</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D638C8" w:rsidRPr="00380178" w:rsidRDefault="00D638C8" w:rsidP="00C20C18">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4322CD">
        <w:rPr>
          <w:b/>
          <w:bCs/>
        </w:rPr>
        <w:t xml:space="preserve">Board </w:t>
      </w:r>
      <w:r w:rsidRPr="00380178">
        <w:rPr>
          <w:b/>
          <w:bCs/>
        </w:rPr>
        <w:t>Meeting</w:t>
      </w:r>
      <w:r>
        <w:rPr>
          <w:b/>
          <w:bCs/>
        </w:rPr>
        <w:t>,</w:t>
      </w:r>
      <w:r w:rsidRPr="00380178">
        <w:rPr>
          <w:b/>
          <w:bCs/>
        </w:rPr>
        <w:t xml:space="preserve"> </w:t>
      </w:r>
      <w:r w:rsidR="00643086">
        <w:rPr>
          <w:b/>
          <w:bCs/>
        </w:rPr>
        <w:t>June 7, 2019</w:t>
      </w:r>
    </w:p>
    <w:p w:rsidR="00D638C8" w:rsidRDefault="00D638C8" w:rsidP="00D638C8">
      <w:pPr>
        <w:spacing w:after="0" w:line="240" w:lineRule="auto"/>
      </w:pPr>
    </w:p>
    <w:p w:rsidR="00EB636E" w:rsidRPr="00BA74AF" w:rsidRDefault="00EB636E" w:rsidP="00D638C8">
      <w:pPr>
        <w:spacing w:after="0" w:line="240" w:lineRule="auto"/>
        <w:rPr>
          <w:rFonts w:ascii="Arial" w:hAnsi="Arial" w:cs="Arial"/>
        </w:rPr>
      </w:pPr>
      <w:r w:rsidRPr="00BA74AF">
        <w:rPr>
          <w:rFonts w:ascii="Arial" w:hAnsi="Arial" w:cs="Arial"/>
        </w:rPr>
        <w:t>The Provincial Government is proposing many changes to the Development Charge rules in Ontario.</w:t>
      </w:r>
    </w:p>
    <w:p w:rsidR="00EB636E" w:rsidRPr="00BA74AF" w:rsidRDefault="00EB636E" w:rsidP="00D638C8">
      <w:pPr>
        <w:spacing w:after="0" w:line="240" w:lineRule="auto"/>
        <w:rPr>
          <w:rFonts w:ascii="Arial" w:hAnsi="Arial" w:cs="Arial"/>
        </w:rPr>
      </w:pPr>
    </w:p>
    <w:p w:rsidR="00EB636E" w:rsidRPr="00BA74AF" w:rsidRDefault="00EB636E" w:rsidP="00D638C8">
      <w:pPr>
        <w:spacing w:after="0" w:line="240" w:lineRule="auto"/>
        <w:rPr>
          <w:rFonts w:ascii="Arial" w:hAnsi="Arial" w:cs="Arial"/>
        </w:rPr>
      </w:pPr>
      <w:r w:rsidRPr="00BA74AF">
        <w:rPr>
          <w:rFonts w:ascii="Arial" w:hAnsi="Arial" w:cs="Arial"/>
        </w:rPr>
        <w:t>The ED attended a ULI briefing at the National Club a month ago and I’ve also attached the City of Toronto briefing to this doc (separate PDF).</w:t>
      </w:r>
    </w:p>
    <w:p w:rsidR="00EB636E" w:rsidRPr="00BA74AF" w:rsidRDefault="00EB636E" w:rsidP="00D638C8">
      <w:pPr>
        <w:spacing w:after="0" w:line="240" w:lineRule="auto"/>
        <w:rPr>
          <w:rFonts w:ascii="Arial" w:hAnsi="Arial" w:cs="Arial"/>
        </w:rPr>
      </w:pPr>
    </w:p>
    <w:p w:rsidR="00EB636E" w:rsidRDefault="00EB636E" w:rsidP="00D638C8">
      <w:pPr>
        <w:spacing w:after="0" w:line="240" w:lineRule="auto"/>
        <w:rPr>
          <w:rFonts w:ascii="Arial" w:hAnsi="Arial" w:cs="Arial"/>
        </w:rPr>
      </w:pPr>
      <w:r w:rsidRPr="00BA74AF">
        <w:rPr>
          <w:rFonts w:ascii="Arial" w:hAnsi="Arial" w:cs="Arial"/>
        </w:rPr>
        <w:t>Here are some points.</w:t>
      </w:r>
      <w:r w:rsidR="00BA74AF">
        <w:rPr>
          <w:rFonts w:ascii="Arial" w:hAnsi="Arial" w:cs="Arial"/>
        </w:rPr>
        <w:t xml:space="preserve">  It’s a bit of a hodgepodge but it’s what I know so far.</w:t>
      </w:r>
    </w:p>
    <w:p w:rsidR="00477410" w:rsidRDefault="00477410" w:rsidP="00D638C8">
      <w:pPr>
        <w:spacing w:after="0" w:line="240" w:lineRule="auto"/>
        <w:rPr>
          <w:rFonts w:ascii="Arial" w:hAnsi="Arial" w:cs="Arial"/>
        </w:rPr>
      </w:pPr>
    </w:p>
    <w:p w:rsidR="00477410" w:rsidRDefault="00477410" w:rsidP="00477410">
      <w:pPr>
        <w:shd w:val="clear" w:color="auto" w:fill="FFFFFF"/>
        <w:spacing w:after="0" w:line="240" w:lineRule="auto"/>
        <w:rPr>
          <w:rFonts w:ascii="Arial" w:eastAsia="Times New Roman" w:hAnsi="Arial" w:cs="Arial"/>
          <w:color w:val="222222"/>
          <w:sz w:val="24"/>
          <w:szCs w:val="24"/>
          <w:lang w:eastAsia="en-CA"/>
        </w:rPr>
      </w:pPr>
      <w:r w:rsidRPr="00477410">
        <w:rPr>
          <w:rFonts w:ascii="Arial" w:eastAsia="Times New Roman" w:hAnsi="Arial" w:cs="Arial"/>
          <w:color w:val="222222"/>
          <w:sz w:val="24"/>
          <w:szCs w:val="24"/>
          <w:lang w:eastAsia="en-CA"/>
        </w:rPr>
        <w:t>The million – dollar question re: Development Charges and CBCs – and why getting involved in the regulation-making conversation is so important.</w:t>
      </w:r>
    </w:p>
    <w:p w:rsidR="00477410" w:rsidRPr="00477410" w:rsidRDefault="00477410" w:rsidP="00477410">
      <w:pPr>
        <w:shd w:val="clear" w:color="auto" w:fill="FFFFFF"/>
        <w:spacing w:after="0" w:line="240" w:lineRule="auto"/>
        <w:rPr>
          <w:rFonts w:ascii="Arial" w:eastAsia="Times New Roman" w:hAnsi="Arial" w:cs="Arial"/>
          <w:color w:val="222222"/>
          <w:sz w:val="24"/>
          <w:szCs w:val="24"/>
          <w:lang w:eastAsia="en-CA"/>
        </w:rPr>
      </w:pPr>
    </w:p>
    <w:p w:rsidR="00477410" w:rsidRPr="00477410" w:rsidRDefault="00477410" w:rsidP="00477410">
      <w:pPr>
        <w:shd w:val="clear" w:color="auto" w:fill="FFFFFF"/>
        <w:spacing w:after="0" w:line="240" w:lineRule="auto"/>
        <w:rPr>
          <w:rFonts w:ascii="Arial" w:eastAsia="Times New Roman" w:hAnsi="Arial" w:cs="Arial"/>
          <w:color w:val="222222"/>
          <w:sz w:val="24"/>
          <w:szCs w:val="24"/>
          <w:lang w:eastAsia="en-CA"/>
        </w:rPr>
      </w:pPr>
      <w:r w:rsidRPr="00477410">
        <w:rPr>
          <w:rFonts w:ascii="Arial" w:eastAsia="Times New Roman" w:hAnsi="Arial" w:cs="Arial"/>
          <w:color w:val="222222"/>
          <w:sz w:val="24"/>
          <w:szCs w:val="24"/>
          <w:lang w:eastAsia="en-CA"/>
        </w:rPr>
        <w:t>From the Toronto Star City Hall Monitor included below re: Bill 108.</w:t>
      </w:r>
    </w:p>
    <w:p w:rsidR="00477410" w:rsidRPr="00477410" w:rsidRDefault="00477410" w:rsidP="00477410">
      <w:pPr>
        <w:shd w:val="clear" w:color="auto" w:fill="FFFFFF"/>
        <w:spacing w:after="0" w:line="240" w:lineRule="auto"/>
        <w:rPr>
          <w:rFonts w:ascii="Arial" w:eastAsia="Times New Roman" w:hAnsi="Arial" w:cs="Arial"/>
          <w:color w:val="222222"/>
          <w:sz w:val="24"/>
          <w:szCs w:val="24"/>
          <w:lang w:eastAsia="en-CA"/>
        </w:rPr>
      </w:pPr>
      <w:r w:rsidRPr="00477410">
        <w:rPr>
          <w:rFonts w:ascii="Arial" w:eastAsia="Times New Roman" w:hAnsi="Arial" w:cs="Arial"/>
          <w:color w:val="222222"/>
          <w:sz w:val="24"/>
          <w:szCs w:val="24"/>
          <w:lang w:eastAsia="en-CA"/>
        </w:rPr>
        <w:t> </w:t>
      </w:r>
    </w:p>
    <w:p w:rsidR="00477410" w:rsidRPr="00477410" w:rsidRDefault="00477410" w:rsidP="00477410">
      <w:pPr>
        <w:numPr>
          <w:ilvl w:val="0"/>
          <w:numId w:val="34"/>
        </w:numPr>
        <w:shd w:val="clear" w:color="auto" w:fill="FFFFFF"/>
        <w:spacing w:before="100" w:beforeAutospacing="1" w:after="100" w:afterAutospacing="1" w:line="300" w:lineRule="atLeast"/>
        <w:rPr>
          <w:rFonts w:ascii="Calibri" w:eastAsia="Times New Roman" w:hAnsi="Calibri" w:cs="Calibri"/>
          <w:color w:val="333333"/>
          <w:lang w:eastAsia="en-CA"/>
        </w:rPr>
      </w:pPr>
      <w:r w:rsidRPr="00477410">
        <w:rPr>
          <w:rFonts w:ascii="Times New Roman" w:eastAsia="Times New Roman" w:hAnsi="Times New Roman" w:cs="Times New Roman"/>
          <w:color w:val="333333"/>
          <w:spacing w:val="3"/>
          <w:sz w:val="24"/>
          <w:szCs w:val="24"/>
          <w:lang w:eastAsia="en-CA"/>
        </w:rPr>
        <w:t>A lot of the practical “how will this work in real life” stuff </w:t>
      </w:r>
      <w:r w:rsidRPr="00477410">
        <w:rPr>
          <w:rFonts w:ascii="Times New Roman" w:eastAsia="Times New Roman" w:hAnsi="Times New Roman" w:cs="Times New Roman"/>
          <w:color w:val="333333"/>
          <w:spacing w:val="3"/>
          <w:sz w:val="24"/>
          <w:szCs w:val="24"/>
          <w:shd w:val="clear" w:color="auto" w:fill="FFFF00"/>
          <w:lang w:eastAsia="en-CA"/>
        </w:rPr>
        <w:t>gets dealt with in regulations attached to the proposed legislation. But none of those draft regulations have been floated publicly.</w:t>
      </w:r>
    </w:p>
    <w:p w:rsidR="00477410" w:rsidRPr="00477410" w:rsidRDefault="00477410" w:rsidP="00477410">
      <w:pPr>
        <w:numPr>
          <w:ilvl w:val="0"/>
          <w:numId w:val="34"/>
        </w:numPr>
        <w:shd w:val="clear" w:color="auto" w:fill="FFFFFF"/>
        <w:spacing w:after="0" w:line="240" w:lineRule="auto"/>
        <w:rPr>
          <w:rFonts w:ascii="Calibri" w:eastAsia="Times New Roman" w:hAnsi="Calibri" w:cs="Calibri"/>
          <w:color w:val="222222"/>
          <w:lang w:eastAsia="en-CA"/>
        </w:rPr>
      </w:pPr>
      <w:r w:rsidRPr="00477410">
        <w:rPr>
          <w:rFonts w:ascii="Times New Roman" w:eastAsia="Times New Roman" w:hAnsi="Times New Roman" w:cs="Times New Roman"/>
          <w:color w:val="333333"/>
          <w:spacing w:val="3"/>
          <w:sz w:val="24"/>
          <w:szCs w:val="24"/>
          <w:lang w:eastAsia="en-CA"/>
        </w:rPr>
        <w:t>For example, there is </w:t>
      </w:r>
      <w:r w:rsidRPr="00477410">
        <w:rPr>
          <w:rFonts w:ascii="Times New Roman" w:eastAsia="Times New Roman" w:hAnsi="Times New Roman" w:cs="Times New Roman"/>
          <w:color w:val="333333"/>
          <w:spacing w:val="3"/>
          <w:sz w:val="24"/>
          <w:szCs w:val="24"/>
          <w:shd w:val="clear" w:color="auto" w:fill="FFFF00"/>
          <w:lang w:eastAsia="en-CA"/>
        </w:rPr>
        <w:t>no clear explanation for how municipalities will be able to charge developers in exchange for the growth to pay for community benefits like new park space or libraries or transit projects.</w:t>
      </w:r>
      <w:r w:rsidRPr="00477410">
        <w:rPr>
          <w:rFonts w:ascii="Times New Roman" w:eastAsia="Times New Roman" w:hAnsi="Times New Roman" w:cs="Times New Roman"/>
          <w:color w:val="333333"/>
          <w:spacing w:val="3"/>
          <w:sz w:val="24"/>
          <w:szCs w:val="24"/>
          <w:lang w:eastAsia="en-CA"/>
        </w:rPr>
        <w:t> The city’s planning division says those changes will impact $1 billion worth of planned investments over the next 10 years, so knowing how this part of the new bill will work is pretty crucial.</w:t>
      </w:r>
    </w:p>
    <w:p w:rsidR="00477410" w:rsidRDefault="00477410" w:rsidP="00477410">
      <w:pPr>
        <w:shd w:val="clear" w:color="auto" w:fill="FFFFFF"/>
        <w:spacing w:after="0" w:line="240" w:lineRule="auto"/>
        <w:rPr>
          <w:rFonts w:ascii="Times New Roman" w:eastAsia="Times New Roman" w:hAnsi="Times New Roman" w:cs="Times New Roman"/>
          <w:color w:val="333333"/>
          <w:spacing w:val="3"/>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10530"/>
      </w:tblGrid>
      <w:tr w:rsidR="00477410" w:rsidTr="0047741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5418"/>
              <w:gridCol w:w="450"/>
            </w:tblGrid>
            <w:tr w:rsidR="00477410">
              <w:tc>
                <w:tcPr>
                  <w:tcW w:w="0" w:type="auto"/>
                  <w:vAlign w:val="center"/>
                  <w:hideMark/>
                </w:tcPr>
                <w:p w:rsidR="00477410" w:rsidRDefault="00477410">
                  <w:pPr>
                    <w:rPr>
                      <w:rFonts w:ascii="Helvetica" w:hAnsi="Helvetica" w:cs="Helvetica"/>
                    </w:rPr>
                  </w:pPr>
                  <w:r>
                    <w:rPr>
                      <w:rStyle w:val="m-6103278563161055038title-bigger"/>
                      <w:rFonts w:ascii="Arial" w:hAnsi="Arial" w:cs="Arial"/>
                      <w:b/>
                      <w:bCs/>
                      <w:spacing w:val="15"/>
                      <w:sz w:val="38"/>
                      <w:szCs w:val="38"/>
                    </w:rPr>
                    <w:t>“</w:t>
                  </w:r>
                  <w:r>
                    <w:rPr>
                      <w:rStyle w:val="m-6103278563161055038title-bigger"/>
                      <w:rFonts w:ascii="Arial" w:hAnsi="Arial" w:cs="Arial"/>
                      <w:b/>
                      <w:bCs/>
                      <w:spacing w:val="15"/>
                      <w:sz w:val="38"/>
                      <w:szCs w:val="38"/>
                    </w:rPr>
                    <w:t>‘The devil wrote this thing’</w:t>
                  </w:r>
                </w:p>
              </w:tc>
              <w:tc>
                <w:tcPr>
                  <w:tcW w:w="450" w:type="dxa"/>
                  <w:vAlign w:val="center"/>
                  <w:hideMark/>
                </w:tcPr>
                <w:p w:rsidR="00477410" w:rsidRDefault="00477410">
                  <w:pPr>
                    <w:rPr>
                      <w:rFonts w:ascii="Helvetica" w:hAnsi="Helvetica" w:cs="Helvetica"/>
                    </w:rPr>
                  </w:pPr>
                  <w:r>
                    <w:rPr>
                      <w:rFonts w:ascii="Helvetica" w:hAnsi="Helvetica" w:cs="Helvetica"/>
                    </w:rPr>
                    <w:t> </w:t>
                  </w:r>
                </w:p>
              </w:tc>
            </w:tr>
          </w:tbl>
          <w:p w:rsidR="00477410" w:rsidRDefault="00477410">
            <w:pPr>
              <w:rPr>
                <w:rFonts w:ascii="Helvetica" w:hAnsi="Helvetica" w:cs="Helvetica"/>
                <w:color w:val="222222"/>
              </w:rPr>
            </w:pPr>
          </w:p>
        </w:tc>
      </w:tr>
      <w:tr w:rsidR="00477410" w:rsidTr="00477410">
        <w:trPr>
          <w:trHeight w:val="300"/>
        </w:trPr>
        <w:tc>
          <w:tcPr>
            <w:tcW w:w="0" w:type="auto"/>
            <w:shd w:val="clear" w:color="auto" w:fill="FFFFFF"/>
            <w:vAlign w:val="center"/>
            <w:hideMark/>
          </w:tcPr>
          <w:p w:rsidR="00477410" w:rsidRDefault="00477410">
            <w:pPr>
              <w:rPr>
                <w:sz w:val="20"/>
                <w:szCs w:val="20"/>
              </w:rPr>
            </w:pPr>
          </w:p>
        </w:tc>
      </w:tr>
      <w:tr w:rsidR="00477410" w:rsidTr="0047741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50"/>
              <w:gridCol w:w="9630"/>
              <w:gridCol w:w="450"/>
            </w:tblGrid>
            <w:tr w:rsidR="00477410">
              <w:tc>
                <w:tcPr>
                  <w:tcW w:w="450" w:type="dxa"/>
                  <w:vAlign w:val="center"/>
                  <w:hideMark/>
                </w:tcPr>
                <w:p w:rsidR="00477410" w:rsidRDefault="00477410">
                  <w:pPr>
                    <w:rPr>
                      <w:rFonts w:ascii="Helvetica" w:hAnsi="Helvetica" w:cs="Helvetica"/>
                      <w:sz w:val="24"/>
                      <w:szCs w:val="24"/>
                    </w:rPr>
                  </w:pPr>
                  <w:r>
                    <w:rPr>
                      <w:rFonts w:ascii="Helvetica" w:hAnsi="Helvetica" w:cs="Helvetica"/>
                    </w:rPr>
                    <w:t> </w:t>
                  </w:r>
                </w:p>
              </w:tc>
              <w:tc>
                <w:tcPr>
                  <w:tcW w:w="0" w:type="auto"/>
                  <w:vAlign w:val="center"/>
                  <w:hideMark/>
                </w:tcPr>
                <w:p w:rsidR="00477410" w:rsidRDefault="00477410">
                  <w:pPr>
                    <w:rPr>
                      <w:rFonts w:ascii="Helvetica" w:hAnsi="Helvetica" w:cs="Helvetica"/>
                    </w:rPr>
                  </w:pPr>
                  <w:r>
                    <w:rPr>
                      <w:rStyle w:val="m-6103278563161055038font-bigger"/>
                      <w:color w:val="333333"/>
                      <w:spacing w:val="3"/>
                    </w:rPr>
                    <w:t>It’s fair to say municipal leaders, environment advocates, residents groups and more are not so pleased with the Ford government’s Bill 108, the omnibus piece of legislation introduced just over a month ago that proposes sweeping changes to planning rules like the </w:t>
                  </w:r>
                  <w:hyperlink r:id="rId6" w:tgtFrame="_blank" w:history="1">
                    <w:r>
                      <w:rPr>
                        <w:rStyle w:val="Hyperlink"/>
                        <w:color w:val="0B6BBC"/>
                        <w:spacing w:val="3"/>
                      </w:rPr>
                      <w:t>return of the Ontario Municipal Board</w:t>
                    </w:r>
                  </w:hyperlink>
                  <w:r>
                    <w:rPr>
                      <w:rStyle w:val="m-6103278563161055038font-bigger"/>
                      <w:color w:val="333333"/>
                      <w:spacing w:val="3"/>
                    </w:rPr>
                    <w:t> — which can overturn council decisions on what gets built where — and, among other things, experts say, </w:t>
                  </w:r>
                  <w:hyperlink r:id="rId7" w:tgtFrame="_blank" w:history="1">
                    <w:r>
                      <w:rPr>
                        <w:rStyle w:val="Hyperlink"/>
                        <w:color w:val="0B6BBC"/>
                        <w:spacing w:val="3"/>
                      </w:rPr>
                      <w:t>guts protections for endangered species</w:t>
                    </w:r>
                  </w:hyperlink>
                  <w:r>
                    <w:rPr>
                      <w:rStyle w:val="m-6103278563161055038font-bigger"/>
                      <w:color w:val="333333"/>
                      <w:spacing w:val="3"/>
                    </w:rPr>
                    <w:t>. </w:t>
                  </w:r>
                  <w:hyperlink r:id="rId8" w:tgtFrame="_blank" w:history="1">
                    <w:r>
                      <w:rPr>
                        <w:rStyle w:val="Hyperlink"/>
                        <w:color w:val="0B6BBC"/>
                        <w:spacing w:val="3"/>
                      </w:rPr>
                      <w:t>One Mississauga councillor went so far as to call the bill “diabolical”</w:t>
                    </w:r>
                  </w:hyperlink>
                  <w:r>
                    <w:rPr>
                      <w:rStyle w:val="m-6103278563161055038font-bigger"/>
                      <w:color w:val="333333"/>
                      <w:spacing w:val="3"/>
                    </w:rPr>
                    <w:t>, saying “the devil wrote this thing.” Here’s what to know about the future of this important legislation:</w:t>
                  </w:r>
                </w:p>
              </w:tc>
              <w:tc>
                <w:tcPr>
                  <w:tcW w:w="450" w:type="dxa"/>
                  <w:vAlign w:val="center"/>
                  <w:hideMark/>
                </w:tcPr>
                <w:p w:rsidR="00477410" w:rsidRDefault="00477410">
                  <w:pPr>
                    <w:rPr>
                      <w:rFonts w:ascii="Helvetica" w:hAnsi="Helvetica" w:cs="Helvetica"/>
                    </w:rPr>
                  </w:pPr>
                  <w:r>
                    <w:rPr>
                      <w:rFonts w:ascii="Helvetica" w:hAnsi="Helvetica" w:cs="Helvetica"/>
                    </w:rPr>
                    <w:t> </w:t>
                  </w:r>
                </w:p>
              </w:tc>
            </w:tr>
          </w:tbl>
          <w:p w:rsidR="00477410" w:rsidRDefault="00477410">
            <w:pPr>
              <w:rPr>
                <w:rFonts w:ascii="Helvetica" w:hAnsi="Helvetica" w:cs="Helvetica"/>
                <w:color w:val="222222"/>
              </w:rPr>
            </w:pPr>
          </w:p>
        </w:tc>
      </w:tr>
      <w:tr w:rsidR="00477410" w:rsidTr="0047741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
              <w:gridCol w:w="10080"/>
            </w:tblGrid>
            <w:tr w:rsidR="00477410">
              <w:tc>
                <w:tcPr>
                  <w:tcW w:w="450" w:type="dxa"/>
                  <w:vAlign w:val="center"/>
                  <w:hideMark/>
                </w:tcPr>
                <w:p w:rsidR="00477410" w:rsidRDefault="00477410">
                  <w:pPr>
                    <w:rPr>
                      <w:rFonts w:ascii="Helvetica" w:hAnsi="Helvetica" w:cs="Helvetica"/>
                      <w:sz w:val="24"/>
                      <w:szCs w:val="24"/>
                    </w:rPr>
                  </w:pPr>
                  <w:r>
                    <w:rPr>
                      <w:rFonts w:ascii="Helvetica" w:hAnsi="Helvetica" w:cs="Helvetica"/>
                    </w:rPr>
                    <w:lastRenderedPageBreak/>
                    <w:t> </w:t>
                  </w:r>
                </w:p>
              </w:tc>
              <w:tc>
                <w:tcPr>
                  <w:tcW w:w="0" w:type="auto"/>
                  <w:vAlign w:val="center"/>
                  <w:hideMark/>
                </w:tcPr>
                <w:p w:rsidR="00477410" w:rsidRDefault="00477410" w:rsidP="00477410">
                  <w:pPr>
                    <w:numPr>
                      <w:ilvl w:val="0"/>
                      <w:numId w:val="35"/>
                    </w:numPr>
                    <w:spacing w:before="100" w:beforeAutospacing="1" w:after="100" w:afterAutospacing="1" w:line="300" w:lineRule="atLeast"/>
                    <w:rPr>
                      <w:rFonts w:ascii="Calibri" w:hAnsi="Calibri" w:cs="Calibri"/>
                      <w:color w:val="333333"/>
                    </w:rPr>
                  </w:pPr>
                  <w:r>
                    <w:rPr>
                      <w:color w:val="333333"/>
                      <w:spacing w:val="3"/>
                    </w:rPr>
                    <w:t>Despite the </w:t>
                  </w:r>
                  <w:hyperlink r:id="rId9" w:tgtFrame="_blank" w:history="1">
                    <w:r>
                      <w:rPr>
                        <w:rStyle w:val="Hyperlink"/>
                        <w:color w:val="0B6BBC"/>
                        <w:spacing w:val="3"/>
                      </w:rPr>
                      <w:t>protests</w:t>
                    </w:r>
                  </w:hyperlink>
                  <w:r>
                    <w:rPr>
                      <w:color w:val="333333"/>
                      <w:spacing w:val="3"/>
                    </w:rPr>
                    <w:t> from municipalities that there hasn’t been enough time for consideration, the government appears poised to see the bill become law after a final reading at Queen’s Park this week.</w:t>
                  </w:r>
                </w:p>
                <w:p w:rsidR="00477410" w:rsidRDefault="00477410" w:rsidP="00477410">
                  <w:pPr>
                    <w:numPr>
                      <w:ilvl w:val="0"/>
                      <w:numId w:val="35"/>
                    </w:numPr>
                    <w:spacing w:before="100" w:beforeAutospacing="1" w:after="100" w:afterAutospacing="1" w:line="300" w:lineRule="atLeast"/>
                    <w:rPr>
                      <w:rFonts w:ascii="Calibri" w:hAnsi="Calibri" w:cs="Calibri"/>
                      <w:color w:val="333333"/>
                    </w:rPr>
                  </w:pPr>
                  <w:r>
                    <w:rPr>
                      <w:color w:val="333333"/>
                      <w:spacing w:val="3"/>
                    </w:rPr>
                    <w:t>On Monday, the bill was at the committee stage of the bill-becoming-law process where MPPs were doing a rapid-fire clause-by-clause review of the wording.</w:t>
                  </w:r>
                </w:p>
                <w:p w:rsidR="00477410" w:rsidRDefault="00477410" w:rsidP="00477410">
                  <w:pPr>
                    <w:numPr>
                      <w:ilvl w:val="0"/>
                      <w:numId w:val="35"/>
                    </w:numPr>
                    <w:spacing w:before="100" w:beforeAutospacing="1" w:after="100" w:afterAutospacing="1" w:line="300" w:lineRule="atLeast"/>
                    <w:rPr>
                      <w:rFonts w:ascii="Calibri" w:hAnsi="Calibri" w:cs="Calibri"/>
                      <w:color w:val="333333"/>
                    </w:rPr>
                  </w:pPr>
                  <w:r>
                    <w:rPr>
                      <w:color w:val="333333"/>
                      <w:spacing w:val="3"/>
                    </w:rPr>
                    <w:t>The next step is for the bill to head back to the legislature for a third and final reading. It gets debated by MPPs and, if passed, goes for “royal assent” — basically a fancy way of saying it becomes law of the land (</w:t>
                  </w:r>
                  <w:hyperlink r:id="rId10" w:tgtFrame="_blank" w:history="1">
                    <w:r>
                      <w:rPr>
                        <w:rStyle w:val="Hyperlink"/>
                        <w:color w:val="0B6BBC"/>
                        <w:spacing w:val="3"/>
                      </w:rPr>
                      <w:t>Thank you, TVO for a recent refresher podcast on how bills become law</w:t>
                    </w:r>
                  </w:hyperlink>
                  <w:r>
                    <w:rPr>
                      <w:color w:val="333333"/>
                      <w:spacing w:val="3"/>
                    </w:rPr>
                    <w:t>). Since Bill 108 is a government bill and the PCs have a majority, it is almost assured to pass third reading.</w:t>
                  </w:r>
                </w:p>
                <w:p w:rsidR="00477410" w:rsidRDefault="00477410" w:rsidP="00477410">
                  <w:pPr>
                    <w:numPr>
                      <w:ilvl w:val="0"/>
                      <w:numId w:val="35"/>
                    </w:numPr>
                    <w:spacing w:before="100" w:beforeAutospacing="1" w:after="100" w:afterAutospacing="1" w:line="300" w:lineRule="atLeast"/>
                    <w:rPr>
                      <w:rFonts w:ascii="Calibri" w:hAnsi="Calibri" w:cs="Calibri"/>
                      <w:color w:val="333333"/>
                    </w:rPr>
                  </w:pPr>
                  <w:r>
                    <w:rPr>
                      <w:color w:val="333333"/>
                      <w:spacing w:val="3"/>
                    </w:rPr>
                    <w:t>This is the final week before the legislature breaks for the summer, so leaving the bill on the table over the break would mean it would not face third reading until September.</w:t>
                  </w:r>
                </w:p>
                <w:p w:rsidR="00477410" w:rsidRDefault="00477410" w:rsidP="00477410">
                  <w:pPr>
                    <w:numPr>
                      <w:ilvl w:val="0"/>
                      <w:numId w:val="35"/>
                    </w:numPr>
                    <w:spacing w:before="100" w:beforeAutospacing="1" w:after="100" w:afterAutospacing="1" w:line="300" w:lineRule="atLeast"/>
                    <w:rPr>
                      <w:rFonts w:ascii="Calibri" w:hAnsi="Calibri" w:cs="Calibri"/>
                      <w:color w:val="333333"/>
                    </w:rPr>
                  </w:pPr>
                  <w:r>
                    <w:rPr>
                      <w:color w:val="333333"/>
                      <w:spacing w:val="3"/>
                    </w:rPr>
                    <w:t>Meanwhile, we still know very little about it. A lot of the practical “how will this work in real life” stuff gets dealt with in regulations attached to the proposed legislation. But none of those draft regulations have been floated publicly.</w:t>
                  </w:r>
                </w:p>
                <w:p w:rsidR="00477410" w:rsidRDefault="00477410" w:rsidP="00477410">
                  <w:pPr>
                    <w:numPr>
                      <w:ilvl w:val="0"/>
                      <w:numId w:val="35"/>
                    </w:numPr>
                    <w:spacing w:before="100" w:beforeAutospacing="1" w:after="100" w:afterAutospacing="1" w:line="300" w:lineRule="atLeast"/>
                    <w:rPr>
                      <w:rFonts w:ascii="Calibri" w:hAnsi="Calibri" w:cs="Calibri"/>
                      <w:color w:val="333333"/>
                    </w:rPr>
                  </w:pPr>
                  <w:r>
                    <w:rPr>
                      <w:color w:val="333333"/>
                      <w:spacing w:val="3"/>
                    </w:rPr>
                    <w:t>For example, there is no clear explanation for how municipalities will be able to charge developers in exchange for the growth to pay for community benefits like new park space or libraries or transit projects. The city’s planning division says those changes will impact $1 billion worth of planned investments over the next 10 years, so knowing how this part of the new bill will work is pretty crucial.</w:t>
                  </w:r>
                  <w:r>
                    <w:rPr>
                      <w:color w:val="333333"/>
                      <w:spacing w:val="3"/>
                    </w:rPr>
                    <w:t>”</w:t>
                  </w:r>
                </w:p>
              </w:tc>
            </w:tr>
          </w:tbl>
          <w:p w:rsidR="00477410" w:rsidRDefault="00477410">
            <w:pPr>
              <w:spacing w:after="0" w:line="240" w:lineRule="auto"/>
              <w:rPr>
                <w:rFonts w:ascii="Helvetica" w:hAnsi="Helvetica" w:cs="Helvetica"/>
                <w:color w:val="222222"/>
                <w:sz w:val="24"/>
                <w:szCs w:val="24"/>
              </w:rPr>
            </w:pPr>
          </w:p>
        </w:tc>
      </w:tr>
    </w:tbl>
    <w:p w:rsidR="00477410" w:rsidRPr="00477410" w:rsidRDefault="00477410" w:rsidP="00477410">
      <w:pPr>
        <w:shd w:val="clear" w:color="auto" w:fill="FFFFFF"/>
        <w:spacing w:after="0" w:line="240" w:lineRule="auto"/>
        <w:rPr>
          <w:rFonts w:ascii="Calibri" w:eastAsia="Times New Roman" w:hAnsi="Calibri" w:cs="Calibri"/>
          <w:color w:val="222222"/>
          <w:lang w:eastAsia="en-CA"/>
        </w:rPr>
      </w:pPr>
    </w:p>
    <w:p w:rsidR="00477410" w:rsidRDefault="00477410" w:rsidP="00D638C8">
      <w:pPr>
        <w:spacing w:after="0" w:line="240" w:lineRule="auto"/>
        <w:rPr>
          <w:rFonts w:ascii="Arial" w:hAnsi="Arial" w:cs="Arial"/>
        </w:rPr>
      </w:pPr>
    </w:p>
    <w:p w:rsidR="00477410" w:rsidRDefault="00477410" w:rsidP="00D638C8">
      <w:pPr>
        <w:spacing w:after="0" w:line="240" w:lineRule="auto"/>
        <w:rPr>
          <w:rFonts w:ascii="Arial" w:hAnsi="Arial" w:cs="Arial"/>
        </w:rPr>
      </w:pPr>
      <w:r>
        <w:rPr>
          <w:rFonts w:ascii="Arial" w:hAnsi="Arial" w:cs="Arial"/>
        </w:rPr>
        <w:t>Our response is proposed as:</w:t>
      </w:r>
    </w:p>
    <w:p w:rsidR="00477410" w:rsidRDefault="00477410" w:rsidP="00D638C8">
      <w:pPr>
        <w:spacing w:after="0" w:line="240" w:lineRule="auto"/>
        <w:rPr>
          <w:rFonts w:ascii="Arial" w:hAnsi="Arial" w:cs="Arial"/>
        </w:rPr>
      </w:pPr>
    </w:p>
    <w:p w:rsidR="00477410" w:rsidRDefault="004E0392" w:rsidP="00D638C8">
      <w:pPr>
        <w:spacing w:after="0" w:line="240" w:lineRule="auto"/>
        <w:rPr>
          <w:rStyle w:val="Strong"/>
        </w:rPr>
      </w:pPr>
      <w:r>
        <w:rPr>
          <w:rStyle w:val="Strong"/>
        </w:rPr>
        <w:t>Proposed changes to Development Charges Act and Planning Act</w:t>
      </w:r>
    </w:p>
    <w:p w:rsidR="004E0392" w:rsidRDefault="004E0392" w:rsidP="00D638C8">
      <w:pPr>
        <w:spacing w:after="0" w:line="240" w:lineRule="auto"/>
        <w:rPr>
          <w:rStyle w:val="Strong"/>
        </w:rPr>
      </w:pPr>
    </w:p>
    <w:p w:rsidR="004E0392" w:rsidRPr="004E0392" w:rsidRDefault="004E0392" w:rsidP="004E0392">
      <w:pPr>
        <w:spacing w:before="100" w:beforeAutospacing="1" w:after="100" w:afterAutospacing="1" w:line="240" w:lineRule="auto"/>
        <w:rPr>
          <w:rFonts w:ascii="Times New Roman" w:eastAsia="Times New Roman" w:hAnsi="Times New Roman" w:cs="Times New Roman"/>
          <w:sz w:val="24"/>
          <w:szCs w:val="24"/>
          <w:lang w:eastAsia="en-CA"/>
        </w:rPr>
      </w:pPr>
      <w:r w:rsidRPr="004E0392">
        <w:rPr>
          <w:rFonts w:ascii="Times New Roman" w:eastAsia="Times New Roman" w:hAnsi="Times New Roman" w:cs="Times New Roman"/>
          <w:b/>
          <w:bCs/>
          <w:sz w:val="24"/>
          <w:szCs w:val="24"/>
          <w:lang w:eastAsia="en-CA"/>
        </w:rPr>
        <w:t>Bill 108 More Homes, More Choices Act - </w:t>
      </w:r>
      <w:r w:rsidRPr="004E0392">
        <w:rPr>
          <w:rFonts w:ascii="Times New Roman" w:eastAsia="Times New Roman" w:hAnsi="Times New Roman" w:cs="Times New Roman"/>
          <w:sz w:val="24"/>
          <w:szCs w:val="24"/>
          <w:lang w:eastAsia="en-CA"/>
        </w:rPr>
        <w:t>introduced in the legislature May 2, 2019 makes amendments to both the</w:t>
      </w:r>
      <w:r w:rsidRPr="004E0392">
        <w:rPr>
          <w:rFonts w:ascii="Times New Roman" w:eastAsia="Times New Roman" w:hAnsi="Times New Roman" w:cs="Times New Roman"/>
          <w:b/>
          <w:bCs/>
          <w:sz w:val="24"/>
          <w:szCs w:val="24"/>
          <w:lang w:eastAsia="en-CA"/>
        </w:rPr>
        <w:t> Development Charges Act</w:t>
      </w:r>
      <w:r w:rsidRPr="004E0392">
        <w:rPr>
          <w:rFonts w:ascii="Times New Roman" w:eastAsia="Times New Roman" w:hAnsi="Times New Roman" w:cs="Times New Roman"/>
          <w:sz w:val="24"/>
          <w:szCs w:val="24"/>
          <w:lang w:eastAsia="en-CA"/>
        </w:rPr>
        <w:t> and </w:t>
      </w:r>
      <w:r w:rsidRPr="004E0392">
        <w:rPr>
          <w:rFonts w:ascii="Times New Roman" w:eastAsia="Times New Roman" w:hAnsi="Times New Roman" w:cs="Times New Roman"/>
          <w:b/>
          <w:bCs/>
          <w:sz w:val="24"/>
          <w:szCs w:val="24"/>
          <w:lang w:eastAsia="en-CA"/>
        </w:rPr>
        <w:t>Section 37 of the Planning Act</w:t>
      </w:r>
      <w:r w:rsidRPr="004E0392">
        <w:rPr>
          <w:rFonts w:ascii="Times New Roman" w:eastAsia="Times New Roman" w:hAnsi="Times New Roman" w:cs="Times New Roman"/>
          <w:sz w:val="24"/>
          <w:szCs w:val="24"/>
          <w:lang w:eastAsia="en-CA"/>
        </w:rPr>
        <w:t>. The bill is currently proceeding to Third Reading. </w:t>
      </w:r>
      <w:r w:rsidRPr="004E0392">
        <w:rPr>
          <w:rFonts w:ascii="Times New Roman" w:eastAsia="Times New Roman" w:hAnsi="Times New Roman" w:cs="Times New Roman"/>
          <w:i/>
          <w:iCs/>
          <w:sz w:val="24"/>
          <w:szCs w:val="24"/>
          <w:lang w:eastAsia="en-CA"/>
        </w:rPr>
        <w:t>The net effect of these changes is to more specifically prescribe what municipalities are allowed to collect these for from developers and more predictability about the amounts. This has a potential significant impact on public libraries:</w:t>
      </w:r>
    </w:p>
    <w:p w:rsidR="004E0392" w:rsidRPr="004E0392" w:rsidRDefault="004E0392" w:rsidP="004E0392">
      <w:pPr>
        <w:spacing w:before="100" w:beforeAutospacing="1" w:after="100" w:afterAutospacing="1" w:line="240" w:lineRule="auto"/>
        <w:rPr>
          <w:rFonts w:ascii="Times New Roman" w:eastAsia="Times New Roman" w:hAnsi="Times New Roman" w:cs="Times New Roman"/>
          <w:sz w:val="24"/>
          <w:szCs w:val="24"/>
          <w:lang w:eastAsia="en-CA"/>
        </w:rPr>
      </w:pPr>
      <w:r w:rsidRPr="004E0392">
        <w:rPr>
          <w:rFonts w:ascii="Times New Roman" w:eastAsia="Times New Roman" w:hAnsi="Times New Roman" w:cs="Times New Roman"/>
          <w:sz w:val="24"/>
          <w:szCs w:val="24"/>
          <w:lang w:eastAsia="en-CA"/>
        </w:rPr>
        <w:t>1 - </w:t>
      </w:r>
      <w:r w:rsidRPr="004E0392">
        <w:rPr>
          <w:rFonts w:ascii="Times New Roman" w:eastAsia="Times New Roman" w:hAnsi="Times New Roman" w:cs="Times New Roman"/>
          <w:b/>
          <w:bCs/>
          <w:sz w:val="24"/>
          <w:szCs w:val="24"/>
          <w:lang w:eastAsia="en-CA"/>
        </w:rPr>
        <w:t>Development Charges Act</w:t>
      </w:r>
      <w:r w:rsidRPr="004E0392">
        <w:rPr>
          <w:rFonts w:ascii="Times New Roman" w:eastAsia="Times New Roman" w:hAnsi="Times New Roman" w:cs="Times New Roman"/>
          <w:sz w:val="24"/>
          <w:szCs w:val="24"/>
          <w:lang w:eastAsia="en-CA"/>
        </w:rPr>
        <w:t> - among the changes made is adding to the list of things that municipalities “may impose development charges to pay for increased capital costs required because of increased needs only for the following services”. This specifies a list of eligible items whereas the previous act was silent and left this up to the municipality for interpretation. </w:t>
      </w:r>
      <w:r w:rsidRPr="004E0392">
        <w:rPr>
          <w:rFonts w:ascii="Times New Roman" w:eastAsia="Times New Roman" w:hAnsi="Times New Roman" w:cs="Times New Roman"/>
          <w:i/>
          <w:iCs/>
          <w:sz w:val="24"/>
          <w:szCs w:val="24"/>
          <w:lang w:eastAsia="en-CA"/>
        </w:rPr>
        <w:t xml:space="preserve">We are advised by our government relations firm that while the revised Act is more prescriptive, it is not clear whether the “other services as prescribed” item on the list, could include capital costs for libraries, and whether newly opened libraries will be eligible for funding under this new model. However, further discussion with Ministry of Municipal Affairs and Housing staff indicate that the intention of Bill 108 is for soft services – such as public library capital costs – are to no longer be collected through development charges but under a new Community Benefits Charge set out in the bill. We are still awaiting clarification on the language in the Bill that mandates this change. We are </w:t>
      </w:r>
      <w:r w:rsidRPr="004E0392">
        <w:rPr>
          <w:rFonts w:ascii="Times New Roman" w:eastAsia="Times New Roman" w:hAnsi="Times New Roman" w:cs="Times New Roman"/>
          <w:i/>
          <w:iCs/>
          <w:sz w:val="24"/>
          <w:szCs w:val="24"/>
          <w:lang w:eastAsia="en-CA"/>
        </w:rPr>
        <w:lastRenderedPageBreak/>
        <w:t>informed that development charges collected to date for public libraries are not supposed to be retroactively redistributed, and this would only apply from the go-forward of date of the Bill becoming law.</w:t>
      </w:r>
    </w:p>
    <w:p w:rsidR="004E0392" w:rsidRPr="004E0392" w:rsidRDefault="004E0392" w:rsidP="004E0392">
      <w:pPr>
        <w:spacing w:before="100" w:beforeAutospacing="1" w:after="100" w:afterAutospacing="1" w:line="240" w:lineRule="auto"/>
        <w:rPr>
          <w:rFonts w:ascii="Times New Roman" w:eastAsia="Times New Roman" w:hAnsi="Times New Roman" w:cs="Times New Roman"/>
          <w:sz w:val="24"/>
          <w:szCs w:val="24"/>
          <w:lang w:eastAsia="en-CA"/>
        </w:rPr>
      </w:pPr>
      <w:r w:rsidRPr="004E0392">
        <w:rPr>
          <w:rFonts w:ascii="Times New Roman" w:eastAsia="Times New Roman" w:hAnsi="Times New Roman" w:cs="Times New Roman"/>
          <w:sz w:val="24"/>
          <w:szCs w:val="24"/>
          <w:lang w:eastAsia="en-CA"/>
        </w:rPr>
        <w:t>2 – </w:t>
      </w:r>
      <w:r w:rsidRPr="004E0392">
        <w:rPr>
          <w:rFonts w:ascii="Times New Roman" w:eastAsia="Times New Roman" w:hAnsi="Times New Roman" w:cs="Times New Roman"/>
          <w:b/>
          <w:bCs/>
          <w:sz w:val="24"/>
          <w:szCs w:val="24"/>
          <w:lang w:eastAsia="en-CA"/>
        </w:rPr>
        <w:t>Community Benefits Charge (change to Section 37 under the Planning Act)</w:t>
      </w:r>
      <w:r w:rsidRPr="004E0392">
        <w:rPr>
          <w:rFonts w:ascii="Times New Roman" w:eastAsia="Times New Roman" w:hAnsi="Times New Roman" w:cs="Times New Roman"/>
          <w:sz w:val="24"/>
          <w:szCs w:val="24"/>
          <w:lang w:eastAsia="en-CA"/>
        </w:rPr>
        <w:t xml:space="preserve">. Under the current Section 37, municipal councils (mostly in Toronto and the inner GTA for practical purposes) have wide latitude to determine the amounts of money collected under Section 37 (funds for density </w:t>
      </w:r>
      <w:proofErr w:type="spellStart"/>
      <w:r w:rsidRPr="004E0392">
        <w:rPr>
          <w:rFonts w:ascii="Times New Roman" w:eastAsia="Times New Roman" w:hAnsi="Times New Roman" w:cs="Times New Roman"/>
          <w:sz w:val="24"/>
          <w:szCs w:val="24"/>
          <w:lang w:eastAsia="en-CA"/>
        </w:rPr>
        <w:t>bonusing</w:t>
      </w:r>
      <w:proofErr w:type="spellEnd"/>
      <w:r w:rsidRPr="004E0392">
        <w:rPr>
          <w:rFonts w:ascii="Times New Roman" w:eastAsia="Times New Roman" w:hAnsi="Times New Roman" w:cs="Times New Roman"/>
          <w:sz w:val="24"/>
          <w:szCs w:val="24"/>
          <w:lang w:eastAsia="en-CA"/>
        </w:rPr>
        <w:t xml:space="preserve"> – permitting developers to exceed zoning limits in exchange for offsetting compensation) and how these are spent.</w:t>
      </w:r>
      <w:r w:rsidRPr="004E0392">
        <w:rPr>
          <w:rFonts w:ascii="Times New Roman" w:eastAsia="Times New Roman" w:hAnsi="Times New Roman" w:cs="Times New Roman"/>
          <w:i/>
          <w:iCs/>
          <w:sz w:val="24"/>
          <w:szCs w:val="24"/>
          <w:lang w:eastAsia="en-CA"/>
        </w:rPr>
        <w:t xml:space="preserve"> We are advised by our government relations firm that the proposed structure is no longer linked to density </w:t>
      </w:r>
      <w:proofErr w:type="spellStart"/>
      <w:r w:rsidRPr="004E0392">
        <w:rPr>
          <w:rFonts w:ascii="Times New Roman" w:eastAsia="Times New Roman" w:hAnsi="Times New Roman" w:cs="Times New Roman"/>
          <w:i/>
          <w:iCs/>
          <w:sz w:val="24"/>
          <w:szCs w:val="24"/>
          <w:lang w:eastAsia="en-CA"/>
        </w:rPr>
        <w:t>bonusing</w:t>
      </w:r>
      <w:proofErr w:type="spellEnd"/>
      <w:r w:rsidRPr="004E0392">
        <w:rPr>
          <w:rFonts w:ascii="Times New Roman" w:eastAsia="Times New Roman" w:hAnsi="Times New Roman" w:cs="Times New Roman"/>
          <w:i/>
          <w:iCs/>
          <w:sz w:val="24"/>
          <w:szCs w:val="24"/>
          <w:lang w:eastAsia="en-CA"/>
        </w:rPr>
        <w:t xml:space="preserve"> and is effectively prejudiced in favour of community-wide facilities like public libraries, community centres, daycare centres. Municipalities will be required to create a Municipal Community Benefits Strategy, over which they will have significant autonomy to set out priorities for how funds will be used, but a cap will be set on the amount of money (per capita) that can be collected through this charge. The specifics of this cap will likely be defined in regulation (and per the legislation, will align with a set percentage of the value of the land), and has yet to be determined by the province – but any cap presents a risk of a smaller pool of available funds for public libraries.</w:t>
      </w:r>
    </w:p>
    <w:p w:rsidR="004E0392" w:rsidRPr="004E0392" w:rsidRDefault="004E0392" w:rsidP="004E0392">
      <w:pPr>
        <w:spacing w:before="100" w:beforeAutospacing="1" w:after="100" w:afterAutospacing="1" w:line="240" w:lineRule="auto"/>
        <w:rPr>
          <w:rFonts w:ascii="Times New Roman" w:eastAsia="Times New Roman" w:hAnsi="Times New Roman" w:cs="Times New Roman"/>
          <w:sz w:val="24"/>
          <w:szCs w:val="24"/>
          <w:lang w:eastAsia="en-CA"/>
        </w:rPr>
      </w:pPr>
      <w:r w:rsidRPr="004E0392">
        <w:rPr>
          <w:rFonts w:ascii="Times New Roman" w:eastAsia="Times New Roman" w:hAnsi="Times New Roman" w:cs="Times New Roman"/>
          <w:sz w:val="24"/>
          <w:szCs w:val="24"/>
          <w:lang w:eastAsia="en-CA"/>
        </w:rPr>
        <w:t xml:space="preserve">We continue to pursue more information on the specific implications of the proposed legislation and the impact of this new approach on public libraries. In </w:t>
      </w:r>
      <w:proofErr w:type="gramStart"/>
      <w:r w:rsidRPr="004E0392">
        <w:rPr>
          <w:rFonts w:ascii="Times New Roman" w:eastAsia="Times New Roman" w:hAnsi="Times New Roman" w:cs="Times New Roman"/>
          <w:sz w:val="24"/>
          <w:szCs w:val="24"/>
          <w:lang w:eastAsia="en-CA"/>
        </w:rPr>
        <w:t>particular</w:t>
      </w:r>
      <w:proofErr w:type="gramEnd"/>
      <w:r w:rsidRPr="004E0392">
        <w:rPr>
          <w:rFonts w:ascii="Times New Roman" w:eastAsia="Times New Roman" w:hAnsi="Times New Roman" w:cs="Times New Roman"/>
          <w:sz w:val="24"/>
          <w:szCs w:val="24"/>
          <w:lang w:eastAsia="en-CA"/>
        </w:rPr>
        <w:t xml:space="preserve"> we are seeking expertise from within our membership to help further inform our response to government in helping to shape any regulations and ensure that they provide the greatest flexibility possible with the aim of ensuring that public libraries see little to no net loss from the shift to this new model.</w:t>
      </w:r>
    </w:p>
    <w:p w:rsidR="004E0392" w:rsidRDefault="004E0392" w:rsidP="00D638C8">
      <w:pPr>
        <w:spacing w:after="0" w:line="240" w:lineRule="auto"/>
        <w:rPr>
          <w:rFonts w:ascii="Arial" w:hAnsi="Arial" w:cs="Arial"/>
        </w:rPr>
      </w:pPr>
      <w:bookmarkStart w:id="0" w:name="_GoBack"/>
      <w:bookmarkEnd w:id="0"/>
    </w:p>
    <w:p w:rsidR="00477410" w:rsidRPr="00BA74AF" w:rsidRDefault="00477410" w:rsidP="00D638C8">
      <w:pPr>
        <w:spacing w:after="0" w:line="240" w:lineRule="auto"/>
        <w:rPr>
          <w:rFonts w:ascii="Arial" w:hAnsi="Arial" w:cs="Arial"/>
        </w:rPr>
      </w:pPr>
    </w:p>
    <w:p w:rsidR="00EB636E" w:rsidRPr="00BA74AF" w:rsidRDefault="00EB636E" w:rsidP="00D638C8">
      <w:pPr>
        <w:spacing w:after="0" w:line="240" w:lineRule="auto"/>
        <w:rPr>
          <w:rFonts w:ascii="Arial" w:hAnsi="Arial" w:cs="Arial"/>
        </w:rPr>
      </w:pPr>
    </w:p>
    <w:p w:rsidR="00BA74AF" w:rsidRPr="00BA74AF" w:rsidRDefault="00BA74AF" w:rsidP="00D638C8">
      <w:pPr>
        <w:spacing w:after="0" w:line="240" w:lineRule="auto"/>
        <w:rPr>
          <w:rFonts w:ascii="Arial" w:hAnsi="Arial" w:cs="Arial"/>
        </w:rPr>
      </w:pPr>
      <w:r w:rsidRPr="00BA74AF">
        <w:rPr>
          <w:rFonts w:ascii="Arial" w:hAnsi="Arial" w:cs="Arial"/>
        </w:rPr>
        <w:t>From MARGIE SINGLETON:</w:t>
      </w:r>
    </w:p>
    <w:p w:rsidR="00BA74AF" w:rsidRPr="00BA74AF" w:rsidRDefault="00BA74AF" w:rsidP="00D638C8">
      <w:pPr>
        <w:spacing w:after="0" w:line="240" w:lineRule="auto"/>
        <w:rPr>
          <w:rFonts w:ascii="Arial" w:hAnsi="Arial" w:cs="Arial"/>
        </w:rPr>
      </w:pP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So you have an update on what is happening re Bill 108</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xml:space="preserve">“From </w:t>
      </w:r>
      <w:proofErr w:type="spellStart"/>
      <w:r w:rsidRPr="00BA74AF">
        <w:rPr>
          <w:rFonts w:ascii="Arial" w:eastAsia="Times New Roman" w:hAnsi="Arial" w:cs="Arial"/>
          <w:color w:val="222222"/>
          <w:lang w:eastAsia="en-CA"/>
        </w:rPr>
        <w:t>Mgmt</w:t>
      </w:r>
      <w:proofErr w:type="spellEnd"/>
      <w:r w:rsidRPr="00BA74AF">
        <w:rPr>
          <w:rFonts w:ascii="Arial" w:eastAsia="Times New Roman" w:hAnsi="Arial" w:cs="Arial"/>
          <w:color w:val="222222"/>
          <w:lang w:eastAsia="en-CA"/>
        </w:rPr>
        <w:t xml:space="preserve"> report to </w:t>
      </w:r>
      <w:proofErr w:type="spellStart"/>
      <w:r w:rsidRPr="00BA74AF">
        <w:rPr>
          <w:rFonts w:ascii="Arial" w:eastAsia="Times New Roman" w:hAnsi="Arial" w:cs="Arial"/>
          <w:color w:val="222222"/>
          <w:lang w:eastAsia="en-CA"/>
        </w:rPr>
        <w:t>Bd</w:t>
      </w:r>
      <w:proofErr w:type="spellEnd"/>
      <w:r w:rsidRPr="00BA74AF">
        <w:rPr>
          <w:rFonts w:ascii="Arial" w:eastAsia="Times New Roman" w:hAnsi="Arial" w:cs="Arial"/>
          <w:color w:val="222222"/>
          <w:lang w:eastAsia="en-CA"/>
        </w:rPr>
        <w:t>:</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b/>
          <w:bCs/>
          <w:i/>
          <w:iCs/>
          <w:color w:val="222222"/>
          <w:lang w:eastAsia="en-CA"/>
        </w:rPr>
        <w:t>Bill 108 More Homes, More Choices Act - </w:t>
      </w:r>
      <w:r w:rsidRPr="00BA74AF">
        <w:rPr>
          <w:rFonts w:ascii="Arial" w:eastAsia="Times New Roman" w:hAnsi="Arial" w:cs="Arial"/>
          <w:i/>
          <w:iCs/>
          <w:color w:val="222222"/>
          <w:lang w:eastAsia="en-CA"/>
        </w:rPr>
        <w:t>Bill 108 More Homes, More Choices Act was introduced in the legislature May 2, 2019 as a document to support the Ministry of Municipal Affairs and Housing’s</w:t>
      </w:r>
      <w:r>
        <w:rPr>
          <w:rFonts w:ascii="Arial" w:eastAsia="Times New Roman" w:hAnsi="Arial" w:cs="Arial"/>
          <w:i/>
          <w:iCs/>
          <w:color w:val="222222"/>
          <w:lang w:eastAsia="en-CA"/>
        </w:rPr>
        <w:t xml:space="preserve"> </w:t>
      </w:r>
      <w:r w:rsidRPr="00BA74AF">
        <w:rPr>
          <w:rFonts w:ascii="Arial" w:eastAsia="Times New Roman" w:hAnsi="Arial" w:cs="Arial"/>
          <w:i/>
          <w:iCs/>
          <w:color w:val="000000"/>
          <w:lang w:eastAsia="en-CA"/>
        </w:rPr>
        <w:t>Housing Supply Action Plan intended to improve housing affordability and increase housing supply. </w:t>
      </w:r>
      <w:r w:rsidRPr="00BA74AF">
        <w:rPr>
          <w:rFonts w:ascii="Arial" w:eastAsia="Times New Roman" w:hAnsi="Arial" w:cs="Arial"/>
          <w:i/>
          <w:iCs/>
          <w:color w:val="222222"/>
          <w:lang w:eastAsia="en-CA"/>
        </w:rPr>
        <w:t>This Bill proposed a new Community Benefits Charge (CBC) as part of the Planning Act to replace Development Charges for soft services currently in the Development Charges Act. VPL relies on Development Charges to fund 90% of construction, furnishing, technology and stocking of collections for new libraries. Staff are working with City colleagues to analyze potential impacts of this Bill however, an in-depth review is not possible at this time as associated regulations have not yet been released.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What this really means – we have no idea what would happen to our DCs going forward.  Unlikely that we could collect the same am</w:t>
      </w:r>
      <w:r>
        <w:rPr>
          <w:rFonts w:ascii="Arial" w:eastAsia="Times New Roman" w:hAnsi="Arial" w:cs="Arial"/>
          <w:color w:val="222222"/>
          <w:lang w:eastAsia="en-CA"/>
        </w:rPr>
        <w:t>oun</w:t>
      </w:r>
      <w:r w:rsidRPr="00BA74AF">
        <w:rPr>
          <w:rFonts w:ascii="Arial" w:eastAsia="Times New Roman" w:hAnsi="Arial" w:cs="Arial"/>
          <w:color w:val="222222"/>
          <w:lang w:eastAsia="en-CA"/>
        </w:rPr>
        <w:t>t only call it CBCs. Can we retain what we have stockpiled in DC Reserves?  We do know that CBCs would be collected for all soft services as 1 pot thus VPL specific funds would not be protected.  They also have a statement that 60% of CBCs must be committed at beginning of year.  What does this mean to the funds that are not spent?  I saw something in the proposed legislation that to me suggested collections may not be eligible for funding any longer but would need a lawyer to confirm. My humble uninformed opinion is that gov</w:t>
      </w:r>
      <w:r>
        <w:rPr>
          <w:rFonts w:ascii="Arial" w:eastAsia="Times New Roman" w:hAnsi="Arial" w:cs="Arial"/>
          <w:color w:val="222222"/>
          <w:lang w:eastAsia="en-CA"/>
        </w:rPr>
        <w:t>ernment</w:t>
      </w:r>
      <w:r w:rsidRPr="00BA74AF">
        <w:rPr>
          <w:rFonts w:ascii="Arial" w:eastAsia="Times New Roman" w:hAnsi="Arial" w:cs="Arial"/>
          <w:color w:val="222222"/>
          <w:lang w:eastAsia="en-CA"/>
        </w:rPr>
        <w:t xml:space="preserve"> is trying to reduce costs for new home buyers pay toward DCs by eliminating DCs and imposing a CBC at potentially a much lower rate.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Many</w:t>
      </w:r>
      <w:r>
        <w:rPr>
          <w:rFonts w:ascii="Arial" w:eastAsia="Times New Roman" w:hAnsi="Arial" w:cs="Arial"/>
          <w:color w:val="222222"/>
          <w:lang w:eastAsia="en-CA"/>
        </w:rPr>
        <w:t>,</w:t>
      </w:r>
      <w:r w:rsidRPr="00BA74AF">
        <w:rPr>
          <w:rFonts w:ascii="Arial" w:eastAsia="Times New Roman" w:hAnsi="Arial" w:cs="Arial"/>
          <w:color w:val="222222"/>
          <w:lang w:eastAsia="en-CA"/>
        </w:rPr>
        <w:t xml:space="preserve"> many questions with no info to glean answers from as no regulations released yet.  Argh!</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lastRenderedPageBreak/>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xml:space="preserve">May 2 was only the first reading of the Bill so it has </w:t>
      </w:r>
      <w:proofErr w:type="gramStart"/>
      <w:r w:rsidRPr="00BA74AF">
        <w:rPr>
          <w:rFonts w:ascii="Arial" w:eastAsia="Times New Roman" w:hAnsi="Arial" w:cs="Arial"/>
          <w:color w:val="222222"/>
          <w:lang w:eastAsia="en-CA"/>
        </w:rPr>
        <w:t>a ways</w:t>
      </w:r>
      <w:proofErr w:type="gramEnd"/>
      <w:r w:rsidRPr="00BA74AF">
        <w:rPr>
          <w:rFonts w:ascii="Arial" w:eastAsia="Times New Roman" w:hAnsi="Arial" w:cs="Arial"/>
          <w:color w:val="222222"/>
          <w:lang w:eastAsia="en-CA"/>
        </w:rPr>
        <w:t xml:space="preserve"> to go before being enacted.”</w:t>
      </w:r>
    </w:p>
    <w:p w:rsidR="00BA74AF" w:rsidRPr="00BA74AF" w:rsidRDefault="00BA74AF" w:rsidP="00D638C8">
      <w:pPr>
        <w:spacing w:after="0" w:line="240" w:lineRule="auto"/>
        <w:rPr>
          <w:rFonts w:ascii="Arial" w:hAnsi="Arial" w:cs="Arial"/>
        </w:rPr>
      </w:pP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“Thinking FOPL may have a role to play in Bill 108 discussions also. I know Counsel gave a cursory look at it and supplied an opinion when Mary and Helen asked a few weeks ago but having looked at the legislation more closely and working with colleagues at City I am getting more and more concerned.  My concerns centre around library issues only:</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Replacing DC with CBCs (probably at a much lower rate) thus significant revenue stream for new development dries up</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All long range facility planning will have to be redone as revenue stream is altered</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What happens to our DCs currently in reserves? Bill says a requirement of 60% CBCs committed at beginning of year</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Pooling CBC will lead to competition among soft service p</w:t>
      </w:r>
      <w:r>
        <w:rPr>
          <w:rFonts w:ascii="Arial" w:eastAsia="Times New Roman" w:hAnsi="Arial" w:cs="Arial"/>
          <w:color w:val="222222"/>
          <w:lang w:eastAsia="en-CA"/>
        </w:rPr>
        <w:t xml:space="preserve">roviders </w:t>
      </w:r>
      <w:r w:rsidRPr="00BA74AF">
        <w:rPr>
          <w:rFonts w:ascii="Arial" w:eastAsia="Times New Roman" w:hAnsi="Arial" w:cs="Arial"/>
          <w:color w:val="222222"/>
          <w:lang w:eastAsia="en-CA"/>
        </w:rPr>
        <w:t xml:space="preserve">City </w:t>
      </w:r>
      <w:proofErr w:type="gramStart"/>
      <w:r w:rsidRPr="00BA74AF">
        <w:rPr>
          <w:rFonts w:ascii="Arial" w:eastAsia="Times New Roman" w:hAnsi="Arial" w:cs="Arial"/>
          <w:color w:val="222222"/>
          <w:lang w:eastAsia="en-CA"/>
        </w:rPr>
        <w:t>vs</w:t>
      </w:r>
      <w:proofErr w:type="gramEnd"/>
      <w:r w:rsidRPr="00BA74AF">
        <w:rPr>
          <w:rFonts w:ascii="Arial" w:eastAsia="Times New Roman" w:hAnsi="Arial" w:cs="Arial"/>
          <w:color w:val="222222"/>
          <w:lang w:eastAsia="en-CA"/>
        </w:rPr>
        <w:t xml:space="preserve"> Lib. DCs were separated by each soft service</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I believe new lib collections will no</w:t>
      </w:r>
      <w:r>
        <w:rPr>
          <w:rFonts w:ascii="Arial" w:eastAsia="Times New Roman" w:hAnsi="Arial" w:cs="Arial"/>
          <w:color w:val="222222"/>
          <w:lang w:eastAsia="en-CA"/>
        </w:rPr>
        <w:t xml:space="preserve"> longer be eligible for funding</w:t>
      </w:r>
      <w:r w:rsidRPr="00BA74AF">
        <w:rPr>
          <w:rFonts w:ascii="Arial" w:eastAsia="Times New Roman" w:hAnsi="Arial" w:cs="Arial"/>
          <w:color w:val="222222"/>
          <w:lang w:eastAsia="en-CA"/>
        </w:rPr>
        <w:t xml:space="preserve"> but this is to be confirmed</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Changes will have a significant impact on libs using DC for new builds in response to growth.   Not sure what our City is planning to do by gov</w:t>
      </w:r>
      <w:r>
        <w:rPr>
          <w:rFonts w:ascii="Arial" w:eastAsia="Times New Roman" w:hAnsi="Arial" w:cs="Arial"/>
          <w:color w:val="222222"/>
          <w:lang w:eastAsia="en-CA"/>
        </w:rPr>
        <w:t>ernment</w:t>
      </w:r>
      <w:r w:rsidRPr="00BA74AF">
        <w:rPr>
          <w:rFonts w:ascii="Arial" w:eastAsia="Times New Roman" w:hAnsi="Arial" w:cs="Arial"/>
          <w:color w:val="222222"/>
          <w:lang w:eastAsia="en-CA"/>
        </w:rPr>
        <w:t xml:space="preserve"> is asking for feedback so I expect they will submit something in writing.</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xml:space="preserve">Below is an email I sent my Exec </w:t>
      </w:r>
      <w:proofErr w:type="spellStart"/>
      <w:r w:rsidRPr="00BA74AF">
        <w:rPr>
          <w:rFonts w:ascii="Arial" w:eastAsia="Times New Roman" w:hAnsi="Arial" w:cs="Arial"/>
          <w:color w:val="222222"/>
          <w:lang w:eastAsia="en-CA"/>
        </w:rPr>
        <w:t>Mgmt</w:t>
      </w:r>
      <w:proofErr w:type="spellEnd"/>
      <w:r w:rsidRPr="00BA74AF">
        <w:rPr>
          <w:rFonts w:ascii="Arial" w:eastAsia="Times New Roman" w:hAnsi="Arial" w:cs="Arial"/>
          <w:color w:val="222222"/>
          <w:lang w:eastAsia="en-CA"/>
        </w:rPr>
        <w:t xml:space="preserve"> team.</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b/>
          <w:bCs/>
          <w:i/>
          <w:iCs/>
          <w:lang w:eastAsia="en-CA"/>
        </w:rPr>
        <w:t>Margie Singleton</w:t>
      </w:r>
      <w:r w:rsidRPr="00BA74AF">
        <w:rPr>
          <w:rFonts w:ascii="Arial" w:eastAsia="Times New Roman" w:hAnsi="Arial" w:cs="Arial"/>
          <w:i/>
          <w:iCs/>
          <w:lang w:eastAsia="en-CA"/>
        </w:rPr>
        <w:t>, BA, MLS, MCML</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Chief Executive Officer</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Vaughan Public Libraries</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2191 Major Mackenzie Drive, Vaughan, Ontario L6A 4W2</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905.653.READ (7323) ext. 4601”</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i/>
          <w:iCs/>
          <w:lang w:eastAsia="en-CA"/>
        </w:rPr>
        <w:t> </w:t>
      </w:r>
    </w:p>
    <w:p w:rsidR="00BA74AF" w:rsidRPr="00BA74AF" w:rsidRDefault="00BA74AF" w:rsidP="00D638C8">
      <w:pPr>
        <w:spacing w:after="0" w:line="240" w:lineRule="auto"/>
        <w:rPr>
          <w:rFonts w:ascii="Arial" w:hAnsi="Arial" w:cs="Arial"/>
        </w:rPr>
      </w:pPr>
      <w:r w:rsidRPr="00BA74AF">
        <w:rPr>
          <w:rFonts w:ascii="Arial" w:hAnsi="Arial" w:cs="Arial"/>
        </w:rPr>
        <w:t>From Helen Kelly:</w:t>
      </w:r>
    </w:p>
    <w:p w:rsidR="00BA74AF" w:rsidRPr="00BA74AF" w:rsidRDefault="00BA74AF" w:rsidP="00D638C8">
      <w:pPr>
        <w:spacing w:after="0" w:line="240" w:lineRule="auto"/>
        <w:rPr>
          <w:rFonts w:ascii="Arial" w:hAnsi="Arial" w:cs="Arial"/>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t>
      </w:r>
      <w:r w:rsidRPr="00BA74AF">
        <w:rPr>
          <w:rFonts w:ascii="Arial" w:hAnsi="Arial" w:cs="Arial"/>
          <w:color w:val="000000"/>
          <w:sz w:val="22"/>
          <w:szCs w:val="22"/>
        </w:rPr>
        <w:t>Hi Stephen,</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Thank you for everything you are doing to support SOLS and OLS North during this incredibly challenging time of budget reduction. Your knowledge, expertise and advocacy are invaluable to public libraries, we appreciate your efforts so much.</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 xml:space="preserve">The provincial government is making many changes to many services and I saw yesterday that Ontario's More Homes </w:t>
      </w:r>
      <w:proofErr w:type="gramStart"/>
      <w:r w:rsidRPr="00BA74AF">
        <w:rPr>
          <w:rFonts w:ascii="Arial" w:hAnsi="Arial" w:cs="Arial"/>
          <w:color w:val="000000"/>
          <w:sz w:val="22"/>
          <w:szCs w:val="22"/>
        </w:rPr>
        <w:t>More Choice</w:t>
      </w:r>
      <w:proofErr w:type="gramEnd"/>
      <w:r w:rsidRPr="00BA74AF">
        <w:rPr>
          <w:rFonts w:ascii="Arial" w:hAnsi="Arial" w:cs="Arial"/>
          <w:color w:val="000000"/>
          <w:sz w:val="22"/>
          <w:szCs w:val="22"/>
        </w:rPr>
        <w:t xml:space="preserve"> Housing Supply Action Plan was announced and in footnote 6 it states, "</w:t>
      </w:r>
      <w:r w:rsidRPr="00BA74AF">
        <w:rPr>
          <w:rFonts w:ascii="Arial" w:hAnsi="Arial" w:cs="Arial"/>
          <w:color w:val="4D4D4D"/>
          <w:sz w:val="22"/>
          <w:szCs w:val="22"/>
          <w:shd w:val="clear" w:color="auto" w:fill="FAFAD2"/>
        </w:rPr>
        <w:t>A new authority is proposed to be created under the Planning Act that would allow municipalities to </w:t>
      </w:r>
      <w:r w:rsidRPr="00BA74AF">
        <w:rPr>
          <w:rStyle w:val="il"/>
          <w:rFonts w:ascii="Arial" w:eastAsiaTheme="majorEastAsia" w:hAnsi="Arial" w:cs="Arial"/>
          <w:color w:val="4D4D4D"/>
          <w:sz w:val="22"/>
          <w:szCs w:val="22"/>
          <w:shd w:val="clear" w:color="auto" w:fill="FAFAD2"/>
        </w:rPr>
        <w:t>charge</w:t>
      </w:r>
      <w:r w:rsidRPr="00BA74AF">
        <w:rPr>
          <w:rFonts w:ascii="Arial" w:hAnsi="Arial" w:cs="Arial"/>
          <w:color w:val="4D4D4D"/>
          <w:sz w:val="22"/>
          <w:szCs w:val="22"/>
          <w:shd w:val="clear" w:color="auto" w:fill="FAFAD2"/>
        </w:rPr>
        <w:t> for community benefits, like libraries and daycare facilities.</w:t>
      </w:r>
      <w:r w:rsidRPr="00BA74AF">
        <w:rPr>
          <w:rFonts w:ascii="Arial" w:hAnsi="Arial" w:cs="Arial"/>
          <w:color w:val="000000"/>
          <w:sz w:val="22"/>
          <w:szCs w:val="22"/>
        </w:rPr>
        <w:t xml:space="preserve">" Footnote 7 </w:t>
      </w:r>
      <w:proofErr w:type="spellStart"/>
      <w:r w:rsidRPr="00BA74AF">
        <w:rPr>
          <w:rFonts w:ascii="Arial" w:hAnsi="Arial" w:cs="Arial"/>
          <w:color w:val="000000"/>
          <w:sz w:val="22"/>
          <w:szCs w:val="22"/>
        </w:rPr>
        <w:t>states,"</w:t>
      </w:r>
      <w:r w:rsidRPr="00BA74AF">
        <w:rPr>
          <w:rFonts w:ascii="Arial" w:hAnsi="Arial" w:cs="Arial"/>
          <w:color w:val="4D4D4D"/>
          <w:sz w:val="22"/>
          <w:szCs w:val="22"/>
          <w:shd w:val="clear" w:color="auto" w:fill="FFFFFF"/>
        </w:rPr>
        <w:t>The</w:t>
      </w:r>
      <w:proofErr w:type="spellEnd"/>
      <w:r w:rsidRPr="00BA74AF">
        <w:rPr>
          <w:rFonts w:ascii="Arial" w:hAnsi="Arial" w:cs="Arial"/>
          <w:color w:val="4D4D4D"/>
          <w:sz w:val="22"/>
          <w:szCs w:val="22"/>
          <w:shd w:val="clear" w:color="auto" w:fill="FFFFFF"/>
        </w:rPr>
        <w:t xml:space="preserve"> proposed new community benefits authority would make upfront </w:t>
      </w:r>
      <w:r w:rsidRPr="00BA74AF">
        <w:rPr>
          <w:rStyle w:val="il"/>
          <w:rFonts w:ascii="Arial" w:eastAsiaTheme="majorEastAsia" w:hAnsi="Arial" w:cs="Arial"/>
          <w:color w:val="4D4D4D"/>
          <w:sz w:val="22"/>
          <w:szCs w:val="22"/>
          <w:shd w:val="clear" w:color="auto" w:fill="FFFFFF"/>
        </w:rPr>
        <w:t>development</w:t>
      </w:r>
      <w:r w:rsidRPr="00BA74AF">
        <w:rPr>
          <w:rFonts w:ascii="Arial" w:hAnsi="Arial" w:cs="Arial"/>
          <w:color w:val="4D4D4D"/>
          <w:sz w:val="22"/>
          <w:szCs w:val="22"/>
          <w:shd w:val="clear" w:color="auto" w:fill="FFFFFF"/>
        </w:rPr>
        <w:t xml:space="preserve"> costs more predictable by replacing the existing density </w:t>
      </w:r>
      <w:proofErr w:type="spellStart"/>
      <w:r w:rsidRPr="00BA74AF">
        <w:rPr>
          <w:rFonts w:ascii="Arial" w:hAnsi="Arial" w:cs="Arial"/>
          <w:color w:val="4D4D4D"/>
          <w:sz w:val="22"/>
          <w:szCs w:val="22"/>
          <w:shd w:val="clear" w:color="auto" w:fill="FFFFFF"/>
        </w:rPr>
        <w:t>bonusing</w:t>
      </w:r>
      <w:proofErr w:type="spellEnd"/>
      <w:r w:rsidRPr="00BA74AF">
        <w:rPr>
          <w:rFonts w:ascii="Arial" w:hAnsi="Arial" w:cs="Arial"/>
          <w:color w:val="4D4D4D"/>
          <w:sz w:val="22"/>
          <w:szCs w:val="22"/>
          <w:shd w:val="clear" w:color="auto" w:fill="FFFFFF"/>
        </w:rPr>
        <w:t xml:space="preserve"> provisions in the Planning Act, </w:t>
      </w:r>
      <w:r w:rsidRPr="00BA74AF">
        <w:rPr>
          <w:rStyle w:val="il"/>
          <w:rFonts w:ascii="Arial" w:eastAsiaTheme="majorEastAsia" w:hAnsi="Arial" w:cs="Arial"/>
          <w:color w:val="4D4D4D"/>
          <w:sz w:val="22"/>
          <w:szCs w:val="22"/>
          <w:shd w:val="clear" w:color="auto" w:fill="FFFFFF"/>
        </w:rPr>
        <w:t>development</w:t>
      </w:r>
      <w:r w:rsidRPr="00BA74AF">
        <w:rPr>
          <w:rFonts w:ascii="Arial" w:hAnsi="Arial" w:cs="Arial"/>
          <w:color w:val="4D4D4D"/>
          <w:sz w:val="22"/>
          <w:szCs w:val="22"/>
          <w:shd w:val="clear" w:color="auto" w:fill="FFFFFF"/>
        </w:rPr>
        <w:t> </w:t>
      </w:r>
      <w:r w:rsidRPr="00BA74AF">
        <w:rPr>
          <w:rStyle w:val="il"/>
          <w:rFonts w:ascii="Arial" w:eastAsiaTheme="majorEastAsia" w:hAnsi="Arial" w:cs="Arial"/>
          <w:color w:val="4D4D4D"/>
          <w:sz w:val="22"/>
          <w:szCs w:val="22"/>
          <w:shd w:val="clear" w:color="auto" w:fill="FFFFFF"/>
        </w:rPr>
        <w:t>charges</w:t>
      </w:r>
      <w:r w:rsidRPr="00BA74AF">
        <w:rPr>
          <w:rFonts w:ascii="Arial" w:hAnsi="Arial" w:cs="Arial"/>
          <w:color w:val="4D4D4D"/>
          <w:sz w:val="22"/>
          <w:szCs w:val="22"/>
          <w:shd w:val="clear" w:color="auto" w:fill="FFFFFF"/>
        </w:rPr>
        <w:t> for discounted services (i.e., soft services), and in some cases, parkland dedication."</w:t>
      </w:r>
    </w:p>
    <w:p w:rsidR="00BA74AF" w:rsidRPr="00BA74AF" w:rsidRDefault="004E0392" w:rsidP="00BA74AF">
      <w:pPr>
        <w:pStyle w:val="NormalWeb"/>
        <w:shd w:val="clear" w:color="auto" w:fill="FFFFFF"/>
        <w:spacing w:before="0" w:beforeAutospacing="0" w:after="0" w:afterAutospacing="0"/>
        <w:rPr>
          <w:rFonts w:ascii="Arial" w:hAnsi="Arial" w:cs="Arial"/>
          <w:color w:val="000000"/>
          <w:sz w:val="22"/>
          <w:szCs w:val="22"/>
        </w:rPr>
      </w:pPr>
      <w:hyperlink r:id="rId11" w:anchor="foot-6" w:tgtFrame="_blank" w:history="1">
        <w:r w:rsidR="00BA74AF" w:rsidRPr="00BA74AF">
          <w:rPr>
            <w:rStyle w:val="Hyperlink"/>
            <w:rFonts w:ascii="Arial" w:hAnsi="Arial" w:cs="Arial"/>
            <w:color w:val="1155CC"/>
            <w:sz w:val="22"/>
            <w:szCs w:val="22"/>
          </w:rPr>
          <w:t>https://www.ontario.ca/page/more-homes-more-choice-ontarios-housing-supply-action-plan?_ga=2.208184212.766481754.1556880132-1482365976.1556880132#foot-6</w:t>
        </w:r>
      </w:hyperlink>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Do you have any details on this? </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Many thanks,</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lastRenderedPageBreak/>
        <w:t>Helen Kelly</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CEO, Idea Exchange</w:t>
      </w:r>
      <w:r>
        <w:rPr>
          <w:rFonts w:ascii="Arial" w:hAnsi="Arial" w:cs="Arial"/>
          <w:color w:val="000000"/>
          <w:sz w:val="22"/>
          <w:szCs w:val="22"/>
        </w:rPr>
        <w:t>”</w:t>
      </w:r>
    </w:p>
    <w:p w:rsidR="00BA74AF" w:rsidRPr="00BA74AF" w:rsidRDefault="00BA74AF" w:rsidP="00D638C8">
      <w:pPr>
        <w:spacing w:after="0" w:line="240" w:lineRule="auto"/>
        <w:rPr>
          <w:rFonts w:ascii="Arial" w:hAnsi="Arial" w:cs="Arial"/>
        </w:rPr>
      </w:pPr>
    </w:p>
    <w:p w:rsidR="00BA74AF" w:rsidRPr="00BA74AF" w:rsidRDefault="00BA74AF" w:rsidP="00D638C8">
      <w:pPr>
        <w:spacing w:after="0" w:line="240" w:lineRule="auto"/>
        <w:rPr>
          <w:rFonts w:ascii="Arial" w:hAnsi="Arial" w:cs="Arial"/>
        </w:rPr>
      </w:pPr>
    </w:p>
    <w:p w:rsidR="00BA74AF" w:rsidRDefault="00BA74AF">
      <w:pPr>
        <w:rPr>
          <w:rFonts w:ascii="Arial" w:hAnsi="Arial" w:cs="Arial"/>
        </w:rPr>
      </w:pPr>
      <w:r>
        <w:rPr>
          <w:rFonts w:ascii="Arial" w:hAnsi="Arial" w:cs="Arial"/>
        </w:rPr>
        <w:br w:type="page"/>
      </w:r>
    </w:p>
    <w:p w:rsidR="00BA74AF" w:rsidRDefault="00BA74AF" w:rsidP="00D638C8">
      <w:pPr>
        <w:spacing w:after="0" w:line="240" w:lineRule="auto"/>
        <w:rPr>
          <w:rFonts w:ascii="Arial" w:hAnsi="Arial" w:cs="Arial"/>
        </w:rPr>
      </w:pPr>
      <w:r w:rsidRPr="00BA74AF">
        <w:rPr>
          <w:rFonts w:ascii="Arial" w:hAnsi="Arial" w:cs="Arial"/>
        </w:rPr>
        <w:lastRenderedPageBreak/>
        <w:t>From Counsel Public Affairs:</w:t>
      </w:r>
    </w:p>
    <w:p w:rsidR="00BA74AF" w:rsidRDefault="00BA74AF" w:rsidP="00D638C8">
      <w:pPr>
        <w:spacing w:after="0" w:line="240" w:lineRule="auto"/>
        <w:rPr>
          <w:rFonts w:ascii="Arial" w:hAnsi="Arial" w:cs="Arial"/>
        </w:rPr>
      </w:pP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“Stephen –</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A bit more clarity on what is proposed in the legislation, background context and limitations.</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The proposed legislation makes amendments to both the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xml:space="preserve"> Act and Section 37 of the Planning Act (density </w:t>
      </w:r>
      <w:proofErr w:type="spellStart"/>
      <w:r w:rsidRPr="00BA74AF">
        <w:rPr>
          <w:rFonts w:ascii="Arial" w:hAnsi="Arial" w:cs="Arial"/>
          <w:color w:val="222222"/>
        </w:rPr>
        <w:t>bonusing</w:t>
      </w:r>
      <w:proofErr w:type="spellEnd"/>
      <w:r w:rsidRPr="00BA74AF">
        <w:rPr>
          <w:rFonts w:ascii="Arial" w:hAnsi="Arial" w:cs="Arial"/>
          <w:color w:val="222222"/>
        </w:rPr>
        <w:t>). The net effect of these changes is to more specifically prescribe what municipalities are allowed to collect these for from developers and more predictability about the amounts.</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In the case of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among the changes made is adding to the list of things that municipalities “may impose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to pay </w:t>
      </w:r>
      <w:r w:rsidRPr="00BA74AF">
        <w:rPr>
          <w:rFonts w:ascii="Arial" w:hAnsi="Arial" w:cs="Arial"/>
          <w:color w:val="222222"/>
          <w:shd w:val="clear" w:color="auto" w:fill="FFFF00"/>
        </w:rPr>
        <w:t>for increased capital costs required because of increased needs only for the following services</w:t>
      </w:r>
      <w:r w:rsidRPr="00BA74AF">
        <w:rPr>
          <w:rFonts w:ascii="Arial" w:hAnsi="Arial" w:cs="Arial"/>
          <w:color w:val="222222"/>
        </w:rPr>
        <w:t>”. This specifies a list of eligible items whereas the previous act was silent and left this up to the municipality for interpretation. (There still is an </w:t>
      </w:r>
      <w:r w:rsidRPr="00BA74AF">
        <w:rPr>
          <w:rFonts w:ascii="Arial" w:hAnsi="Arial" w:cs="Arial"/>
          <w:color w:val="222222"/>
          <w:shd w:val="clear" w:color="auto" w:fill="FFFF00"/>
        </w:rPr>
        <w:t>“other services as prescribed”</w:t>
      </w:r>
      <w:r w:rsidRPr="00BA74AF">
        <w:rPr>
          <w:rFonts w:ascii="Arial" w:hAnsi="Arial" w:cs="Arial"/>
          <w:color w:val="222222"/>
        </w:rPr>
        <w:t> item on the list, which could include capital costs for libraries).</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Perhaps more immediately pertinent (and the item highlighted in your email below) is that they’re changing how Section 37 works under the Planning Act. I know that it’s hard to be optimistic in the current environment but this may net out to be more predictable for public libraries than the current model.</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Under the current Section 37, municipal councils (mostly in Toronto and the inner GTA for practical purposes) have wide latitude to determine the amounts of money collected under Section 37 and how these are spent. The process is very opaque and often ends up becoming “wheeling and dealing” between developers and ward Councillors, with the result too often being less-than-remarkable public art or political priority projects for the local councillor.</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This change aims to bring more certainty to the system.</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The municipality will create a single community benefits </w:t>
      </w:r>
      <w:r w:rsidRPr="00BA74AF">
        <w:rPr>
          <w:rStyle w:val="il"/>
          <w:rFonts w:ascii="Arial" w:hAnsi="Arial" w:cs="Arial"/>
          <w:color w:val="222222"/>
        </w:rPr>
        <w:t>charge</w:t>
      </w:r>
      <w:r w:rsidRPr="00BA74AF">
        <w:rPr>
          <w:rFonts w:ascii="Arial" w:hAnsi="Arial" w:cs="Arial"/>
          <w:color w:val="222222"/>
        </w:rPr>
        <w:t> through by-law, which collects funds at a percentage value of the land as set out in the by-law.</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The funds can be used to pay for the </w:t>
      </w:r>
      <w:r w:rsidRPr="00BA74AF">
        <w:rPr>
          <w:rFonts w:ascii="Arial" w:hAnsi="Arial" w:cs="Arial"/>
          <w:color w:val="222222"/>
          <w:shd w:val="clear" w:color="auto" w:fill="FFFF00"/>
        </w:rPr>
        <w:t>capital costs</w:t>
      </w:r>
      <w:r w:rsidRPr="00BA74AF">
        <w:rPr>
          <w:rFonts w:ascii="Arial" w:hAnsi="Arial" w:cs="Arial"/>
          <w:color w:val="222222"/>
        </w:rPr>
        <w:t> of facilities, services and other matters required because of </w:t>
      </w:r>
      <w:r w:rsidRPr="00BA74AF">
        <w:rPr>
          <w:rStyle w:val="il"/>
          <w:rFonts w:ascii="Arial" w:hAnsi="Arial" w:cs="Arial"/>
          <w:color w:val="222222"/>
          <w:shd w:val="clear" w:color="auto" w:fill="FFFF00"/>
        </w:rPr>
        <w:t>development</w:t>
      </w:r>
      <w:r w:rsidRPr="00BA74AF">
        <w:rPr>
          <w:rFonts w:ascii="Arial" w:hAnsi="Arial" w:cs="Arial"/>
          <w:color w:val="222222"/>
          <w:shd w:val="clear" w:color="auto" w:fill="FFFF00"/>
        </w:rPr>
        <w:t> or redevelopment</w:t>
      </w:r>
      <w:r w:rsidRPr="00BA74AF">
        <w:rPr>
          <w:rFonts w:ascii="Arial" w:hAnsi="Arial" w:cs="Arial"/>
          <w:color w:val="222222"/>
        </w:rPr>
        <w:t>.</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The municipality must, in advance, set out a community benefits strategy that identifies the facilities, services and other matters that will be funded.</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Only one such by-law can be effect in a municipality at a given time.</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shd w:val="clear" w:color="auto" w:fill="FFFF00"/>
        </w:rPr>
        <w:t>Eligible items specifically prescribed in the municipality’s </w:t>
      </w:r>
      <w:r w:rsidRPr="00BA74AF">
        <w:rPr>
          <w:rStyle w:val="il"/>
          <w:rFonts w:ascii="Arial" w:hAnsi="Arial" w:cs="Arial"/>
          <w:color w:val="222222"/>
          <w:shd w:val="clear" w:color="auto" w:fill="FFFF00"/>
        </w:rPr>
        <w:t>Development</w:t>
      </w:r>
      <w:r w:rsidRPr="00BA74AF">
        <w:rPr>
          <w:rFonts w:ascii="Arial" w:hAnsi="Arial" w:cs="Arial"/>
          <w:color w:val="222222"/>
          <w:shd w:val="clear" w:color="auto" w:fill="FFFF00"/>
        </w:rPr>
        <w:t> </w:t>
      </w:r>
      <w:r w:rsidRPr="00BA74AF">
        <w:rPr>
          <w:rStyle w:val="il"/>
          <w:rFonts w:ascii="Arial" w:hAnsi="Arial" w:cs="Arial"/>
          <w:color w:val="222222"/>
          <w:shd w:val="clear" w:color="auto" w:fill="FFFF00"/>
        </w:rPr>
        <w:t>Charges</w:t>
      </w:r>
      <w:r w:rsidRPr="00BA74AF">
        <w:rPr>
          <w:rFonts w:ascii="Arial" w:hAnsi="Arial" w:cs="Arial"/>
          <w:color w:val="222222"/>
          <w:shd w:val="clear" w:color="auto" w:fill="FFFF00"/>
        </w:rPr>
        <w:t> by-law are excluded.</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shd w:val="clear" w:color="auto" w:fill="FFFF00"/>
        </w:rPr>
        <w:t> </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It would appear that this structure is prejudiced in favour community-wide facilities like public libraries, community centres, daycare centres vs. many other uses that have benefitted from Section 37 in the past – at least in places like Toronto, Mississauga, etc. where this is widely used. That was very much by design.</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In most municipalities, the key consideration for public libraries is to continue to press/ensure that libraries are included in the municipal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bylaw under the “other services” category, which would remain in effect.</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Happy to chat directly or follow-up if you have an additional question.</w:t>
      </w:r>
    </w:p>
    <w:p w:rsidR="00BA74AF" w:rsidRPr="00BA74AF" w:rsidRDefault="00BA74AF" w:rsidP="00BA74AF">
      <w:pPr>
        <w:shd w:val="clear" w:color="auto" w:fill="FFFFFF"/>
        <w:rPr>
          <w:rFonts w:ascii="Arial" w:hAnsi="Arial" w:cs="Arial"/>
        </w:rPr>
      </w:pPr>
      <w:r w:rsidRPr="00BA74AF">
        <w:rPr>
          <w:rFonts w:ascii="Arial" w:hAnsi="Arial" w:cs="Arial"/>
          <w:color w:val="000000"/>
        </w:rPr>
        <w:lastRenderedPageBreak/>
        <w:t>Devan Sommerville</w:t>
      </w:r>
      <w:r w:rsidRPr="00BA74AF">
        <w:rPr>
          <w:rFonts w:ascii="Arial" w:hAnsi="Arial" w:cs="Arial"/>
          <w:color w:val="000000"/>
        </w:rPr>
        <w:br/>
      </w:r>
      <w:r w:rsidRPr="00BA74AF">
        <w:rPr>
          <w:rFonts w:ascii="Arial" w:hAnsi="Arial" w:cs="Arial"/>
          <w:b/>
          <w:bCs/>
          <w:color w:val="000000"/>
        </w:rPr>
        <w:t>Associate Vice President, Counsel Public Affairs Inc.</w:t>
      </w:r>
      <w:r w:rsidRPr="00BA74AF">
        <w:rPr>
          <w:rFonts w:ascii="Arial" w:hAnsi="Arial" w:cs="Arial"/>
          <w:color w:val="000000"/>
        </w:rPr>
        <w:br/>
        <w:t>95 St. Clair Avenue West, Suite 1606, Toronto, ON,  M4V 1N6</w:t>
      </w:r>
      <w:r w:rsidRPr="00BA74AF">
        <w:rPr>
          <w:rFonts w:ascii="Arial" w:hAnsi="Arial" w:cs="Arial"/>
          <w:color w:val="000000"/>
        </w:rPr>
        <w:br/>
      </w:r>
      <w:r w:rsidRPr="00BA74AF">
        <w:rPr>
          <w:rFonts w:ascii="Arial" w:hAnsi="Arial" w:cs="Arial"/>
          <w:b/>
          <w:bCs/>
          <w:color w:val="000000"/>
        </w:rPr>
        <w:t>P:</w:t>
      </w:r>
      <w:r w:rsidRPr="00BA74AF">
        <w:rPr>
          <w:rFonts w:ascii="Arial" w:hAnsi="Arial" w:cs="Arial"/>
          <w:color w:val="000000"/>
        </w:rPr>
        <w:t> 416.920.0716 ext. 217 | </w:t>
      </w:r>
      <w:r w:rsidRPr="00BA74AF">
        <w:rPr>
          <w:rFonts w:ascii="Arial" w:hAnsi="Arial" w:cs="Arial"/>
          <w:b/>
          <w:bCs/>
          <w:color w:val="000000"/>
        </w:rPr>
        <w:t>C:</w:t>
      </w:r>
      <w:r w:rsidRPr="00BA74AF">
        <w:rPr>
          <w:rFonts w:ascii="Arial" w:hAnsi="Arial" w:cs="Arial"/>
          <w:color w:val="000000"/>
        </w:rPr>
        <w:t> 416.922.8693 | </w:t>
      </w:r>
      <w:hyperlink r:id="rId12" w:tgtFrame="_blank" w:history="1">
        <w:r w:rsidRPr="00BA74AF">
          <w:rPr>
            <w:rStyle w:val="Hyperlink"/>
            <w:rFonts w:ascii="Arial" w:hAnsi="Arial" w:cs="Arial"/>
            <w:color w:val="000000"/>
          </w:rPr>
          <w:t>counselpa.com</w:t>
        </w:r>
      </w:hyperlink>
      <w:r w:rsidRPr="00BA74AF">
        <w:rPr>
          <w:rFonts w:ascii="Arial" w:hAnsi="Arial" w:cs="Arial"/>
          <w:color w:val="000000"/>
        </w:rPr>
        <w:t>”</w:t>
      </w:r>
    </w:p>
    <w:p w:rsidR="00EB636E" w:rsidRPr="00BA74AF" w:rsidRDefault="00EB636E" w:rsidP="00D638C8">
      <w:pPr>
        <w:spacing w:after="0" w:line="240" w:lineRule="auto"/>
        <w:rPr>
          <w:rFonts w:ascii="Arial" w:hAnsi="Arial" w:cs="Arial"/>
        </w:rPr>
      </w:pP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Counsel</w:t>
      </w:r>
      <w:r w:rsidRPr="001C4F14">
        <w:rPr>
          <w:rFonts w:ascii="Arial" w:eastAsia="Times New Roman" w:hAnsi="Arial" w:cs="Arial"/>
          <w:color w:val="222222"/>
          <w:lang w:eastAsia="en-CA"/>
        </w:rPr>
        <w:t xml:space="preserve"> </w:t>
      </w:r>
      <w:r w:rsidRPr="00BA74AF">
        <w:rPr>
          <w:rFonts w:ascii="Arial" w:eastAsia="Times New Roman" w:hAnsi="Arial" w:cs="Arial"/>
          <w:color w:val="222222"/>
          <w:lang w:eastAsia="en-CA"/>
        </w:rPr>
        <w:t>“</w:t>
      </w:r>
      <w:r w:rsidRPr="001C4F14">
        <w:rPr>
          <w:rFonts w:ascii="Arial" w:eastAsia="Times New Roman" w:hAnsi="Arial" w:cs="Arial"/>
          <w:color w:val="222222"/>
          <w:lang w:eastAsia="en-CA"/>
        </w:rPr>
        <w:t>spoke with John Ballantine, the Manager of the Municipal Finance branch at the Ministry of Municipal Affairs and Housing regarding a number of questions related to Development Charges that have provided some further clarity – both confirming some reasons for potential concern and key opportunities ahead.</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 </w:t>
      </w:r>
    </w:p>
    <w:p w:rsidR="001C4F14" w:rsidRPr="001C4F14" w:rsidRDefault="001C4F14" w:rsidP="001C4F14">
      <w:pPr>
        <w:numPr>
          <w:ilvl w:val="0"/>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The intent of Bill 108 is that development charges for </w:t>
      </w:r>
      <w:r w:rsidRPr="001C4F14">
        <w:rPr>
          <w:rFonts w:ascii="Arial" w:eastAsia="Times New Roman" w:hAnsi="Arial" w:cs="Arial"/>
          <w:b/>
          <w:bCs/>
          <w:color w:val="222222"/>
          <w:lang w:eastAsia="en-CA"/>
        </w:rPr>
        <w:t>soft services – such as public libraries – are to no longer be collected under Development Charges</w:t>
      </w:r>
      <w:r w:rsidRPr="001C4F14">
        <w:rPr>
          <w:rFonts w:ascii="Arial" w:eastAsia="Times New Roman" w:hAnsi="Arial" w:cs="Arial"/>
          <w:color w:val="222222"/>
          <w:lang w:eastAsia="en-CA"/>
        </w:rPr>
        <w:t> but under the Community Benefit Charges model.</w:t>
      </w:r>
    </w:p>
    <w:p w:rsidR="001C4F14" w:rsidRPr="001C4F14" w:rsidRDefault="001C4F14" w:rsidP="001C4F14">
      <w:pPr>
        <w:numPr>
          <w:ilvl w:val="1"/>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However, John was </w:t>
      </w:r>
      <w:r w:rsidRPr="001C4F14">
        <w:rPr>
          <w:rFonts w:ascii="Arial" w:eastAsia="Times New Roman" w:hAnsi="Arial" w:cs="Arial"/>
          <w:b/>
          <w:bCs/>
          <w:color w:val="222222"/>
          <w:lang w:eastAsia="en-CA"/>
        </w:rPr>
        <w:t>unable to point me to the actual change in the legislation to enforce this</w:t>
      </w:r>
      <w:r w:rsidRPr="001C4F14">
        <w:rPr>
          <w:rFonts w:ascii="Arial" w:eastAsia="Times New Roman" w:hAnsi="Arial" w:cs="Arial"/>
          <w:color w:val="222222"/>
          <w:lang w:eastAsia="en-CA"/>
        </w:rPr>
        <w:t> – rather than just the explanatory note’s explanation of the objective. He’s committed to follow up to confirm that it indeed does.</w:t>
      </w:r>
    </w:p>
    <w:p w:rsidR="001C4F14" w:rsidRPr="001C4F14" w:rsidRDefault="001C4F14" w:rsidP="001C4F14">
      <w:pPr>
        <w:numPr>
          <w:ilvl w:val="0"/>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b/>
          <w:bCs/>
          <w:color w:val="222222"/>
          <w:lang w:eastAsia="en-CA"/>
        </w:rPr>
        <w:t>As for development charge revenues already collected and earmarked for PL this year</w:t>
      </w:r>
      <w:r w:rsidRPr="001C4F14">
        <w:rPr>
          <w:rFonts w:ascii="Arial" w:eastAsia="Times New Roman" w:hAnsi="Arial" w:cs="Arial"/>
          <w:color w:val="222222"/>
          <w:lang w:eastAsia="en-CA"/>
        </w:rPr>
        <w:t>, he indicated that these are still to be used for that purpose and there is a transition provision for them to transfer dollar-for-dollar to the Community Benefit Charges structure.</w:t>
      </w:r>
    </w:p>
    <w:p w:rsidR="001C4F14" w:rsidRPr="001C4F14" w:rsidRDefault="001C4F14" w:rsidP="001C4F14">
      <w:pPr>
        <w:numPr>
          <w:ilvl w:val="0"/>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In terms of </w:t>
      </w:r>
      <w:r w:rsidRPr="001C4F14">
        <w:rPr>
          <w:rFonts w:ascii="Arial" w:eastAsia="Times New Roman" w:hAnsi="Arial" w:cs="Arial"/>
          <w:b/>
          <w:bCs/>
          <w:color w:val="222222"/>
          <w:lang w:eastAsia="en-CA"/>
        </w:rPr>
        <w:t>Community Benefit Charges</w:t>
      </w:r>
      <w:r w:rsidRPr="001C4F14">
        <w:rPr>
          <w:rFonts w:ascii="Arial" w:eastAsia="Times New Roman" w:hAnsi="Arial" w:cs="Arial"/>
          <w:color w:val="222222"/>
          <w:lang w:eastAsia="en-CA"/>
        </w:rPr>
        <w:t xml:space="preserve"> – the new model is much farther reaching in terms of its applicability. It removes the density </w:t>
      </w:r>
      <w:proofErr w:type="spellStart"/>
      <w:r w:rsidRPr="001C4F14">
        <w:rPr>
          <w:rFonts w:ascii="Arial" w:eastAsia="Times New Roman" w:hAnsi="Arial" w:cs="Arial"/>
          <w:color w:val="222222"/>
          <w:lang w:eastAsia="en-CA"/>
        </w:rPr>
        <w:t>bonusing</w:t>
      </w:r>
      <w:proofErr w:type="spellEnd"/>
      <w:r w:rsidRPr="001C4F14">
        <w:rPr>
          <w:rFonts w:ascii="Arial" w:eastAsia="Times New Roman" w:hAnsi="Arial" w:cs="Arial"/>
          <w:color w:val="222222"/>
          <w:lang w:eastAsia="en-CA"/>
        </w:rPr>
        <w:t xml:space="preserve"> provisions of the old Section 37 and is much more flexible within the cap. All that is required is a municipal Community Benefits Strategy setting out how the funds are to be used, which the province has intentionally left undefined.</w:t>
      </w:r>
    </w:p>
    <w:p w:rsidR="001C4F14" w:rsidRPr="001C4F14" w:rsidRDefault="001C4F14" w:rsidP="001C4F14">
      <w:pPr>
        <w:numPr>
          <w:ilvl w:val="1"/>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b/>
          <w:bCs/>
          <w:color w:val="222222"/>
          <w:lang w:eastAsia="en-CA"/>
        </w:rPr>
        <w:t>There will be a cap on this charge</w:t>
      </w:r>
      <w:r w:rsidRPr="001C4F14">
        <w:rPr>
          <w:rFonts w:ascii="Arial" w:eastAsia="Times New Roman" w:hAnsi="Arial" w:cs="Arial"/>
          <w:color w:val="222222"/>
          <w:lang w:eastAsia="en-CA"/>
        </w:rPr>
        <w:t>, which undeniably presents a revenue risk. However, </w:t>
      </w:r>
      <w:r w:rsidRPr="001C4F14">
        <w:rPr>
          <w:rFonts w:ascii="Arial" w:eastAsia="Times New Roman" w:hAnsi="Arial" w:cs="Arial"/>
          <w:b/>
          <w:bCs/>
          <w:color w:val="222222"/>
          <w:lang w:eastAsia="en-CA"/>
        </w:rPr>
        <w:t>the Ministry has not yet determined the formula or structure of the cap</w:t>
      </w:r>
      <w:r w:rsidRPr="001C4F14">
        <w:rPr>
          <w:rFonts w:ascii="Arial" w:eastAsia="Times New Roman" w:hAnsi="Arial" w:cs="Arial"/>
          <w:color w:val="222222"/>
          <w:lang w:eastAsia="en-CA"/>
        </w:rPr>
        <w:t> (to be set in regulation) and it is premature as to whether it will be a single cap or a tiered cap based on the nature of the service.</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 </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Based on this conversation, it is of timely importance to engage politically and with Ministry staff in an effort to minimize the negative impact on DCs for public libraries.</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On the back of the envelope, this may include:</w:t>
      </w:r>
    </w:p>
    <w:p w:rsidR="001C4F14" w:rsidRPr="001C4F14" w:rsidRDefault="001C4F14" w:rsidP="001C4F14">
      <w:pPr>
        <w:numPr>
          <w:ilvl w:val="0"/>
          <w:numId w:val="30"/>
        </w:numPr>
        <w:shd w:val="clear" w:color="auto" w:fill="FFFFFF"/>
        <w:spacing w:after="0" w:line="240" w:lineRule="auto"/>
        <w:ind w:left="1080"/>
        <w:rPr>
          <w:rFonts w:ascii="Arial" w:eastAsia="Times New Roman" w:hAnsi="Arial" w:cs="Arial"/>
          <w:color w:val="222222"/>
          <w:lang w:eastAsia="en-CA"/>
        </w:rPr>
      </w:pPr>
      <w:r w:rsidRPr="001C4F14">
        <w:rPr>
          <w:rFonts w:ascii="Arial" w:eastAsia="Times New Roman" w:hAnsi="Arial" w:cs="Arial"/>
          <w:color w:val="222222"/>
          <w:lang w:eastAsia="en-CA"/>
        </w:rPr>
        <w:t>amending Bill 108 to include public libraries on the list of prescribed services for DCs (a difficult objective)</w:t>
      </w:r>
    </w:p>
    <w:p w:rsidR="001C4F14" w:rsidRPr="001C4F14" w:rsidRDefault="001C4F14" w:rsidP="001C4F14">
      <w:pPr>
        <w:numPr>
          <w:ilvl w:val="0"/>
          <w:numId w:val="30"/>
        </w:numPr>
        <w:shd w:val="clear" w:color="auto" w:fill="FFFFFF"/>
        <w:spacing w:after="0" w:line="240" w:lineRule="auto"/>
        <w:ind w:left="1080"/>
        <w:rPr>
          <w:rFonts w:ascii="Arial" w:eastAsia="Times New Roman" w:hAnsi="Arial" w:cs="Arial"/>
          <w:color w:val="222222"/>
          <w:lang w:eastAsia="en-CA"/>
        </w:rPr>
      </w:pPr>
      <w:r w:rsidRPr="001C4F14">
        <w:rPr>
          <w:rFonts w:ascii="Arial" w:eastAsia="Times New Roman" w:hAnsi="Arial" w:cs="Arial"/>
          <w:color w:val="222222"/>
          <w:lang w:eastAsia="en-CA"/>
        </w:rPr>
        <w:t>shaping the CBC cap in regulation to permit some hard capital costs – such as public libraries – to be capped according to the municipality’s DC by-law</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 </w:t>
      </w:r>
    </w:p>
    <w:p w:rsidR="001C4F14" w:rsidRPr="00BA74AF"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We can and should engage on this quickly but we’ll want to ensure that we have the strongest and most straightforward proposal to bring forward. We can discuss on our call Monday how we can rapidly pull this together.</w:t>
      </w:r>
      <w:r w:rsidRPr="00BA74AF">
        <w:rPr>
          <w:rFonts w:ascii="Arial" w:eastAsia="Times New Roman" w:hAnsi="Arial" w:cs="Arial"/>
          <w:color w:val="222222"/>
          <w:lang w:eastAsia="en-CA"/>
        </w:rPr>
        <w:t>”</w:t>
      </w:r>
    </w:p>
    <w:p w:rsidR="001C4F14" w:rsidRPr="00BA74AF" w:rsidRDefault="001C4F14" w:rsidP="001C4F14">
      <w:pPr>
        <w:shd w:val="clear" w:color="auto" w:fill="FFFFFF"/>
        <w:spacing w:after="0" w:line="240" w:lineRule="auto"/>
        <w:rPr>
          <w:rFonts w:ascii="Arial" w:eastAsia="Times New Roman" w:hAnsi="Arial" w:cs="Arial"/>
          <w:color w:val="222222"/>
          <w:lang w:eastAsia="en-CA"/>
        </w:rPr>
      </w:pPr>
    </w:p>
    <w:p w:rsidR="001C4F14" w:rsidRPr="001C4F14" w:rsidRDefault="001C4F14" w:rsidP="001C4F14">
      <w:pPr>
        <w:shd w:val="clear" w:color="auto" w:fill="FFFFFF"/>
        <w:spacing w:after="0" w:line="240" w:lineRule="auto"/>
        <w:rPr>
          <w:rFonts w:ascii="Arial" w:eastAsia="Times New Roman" w:hAnsi="Arial" w:cs="Arial"/>
          <w:color w:val="222222"/>
          <w:sz w:val="24"/>
          <w:szCs w:val="24"/>
          <w:lang w:eastAsia="en-CA"/>
        </w:rPr>
      </w:pPr>
    </w:p>
    <w:p w:rsidR="001C4F14" w:rsidRPr="001C4F14" w:rsidRDefault="001C4F14" w:rsidP="001C4F14">
      <w:pPr>
        <w:shd w:val="clear" w:color="auto" w:fill="FFFFFF"/>
        <w:spacing w:after="0" w:line="240" w:lineRule="auto"/>
        <w:rPr>
          <w:rFonts w:ascii="Arial" w:eastAsia="Times New Roman" w:hAnsi="Arial" w:cs="Arial"/>
          <w:color w:val="222222"/>
          <w:sz w:val="24"/>
          <w:szCs w:val="24"/>
          <w:lang w:eastAsia="en-CA"/>
        </w:rPr>
      </w:pPr>
      <w:r w:rsidRPr="001C4F14">
        <w:rPr>
          <w:rFonts w:ascii="Arial" w:eastAsia="Times New Roman" w:hAnsi="Arial" w:cs="Arial"/>
          <w:color w:val="222222"/>
          <w:sz w:val="24"/>
          <w:szCs w:val="24"/>
          <w:lang w:eastAsia="en-CA"/>
        </w:rPr>
        <w:t> </w:t>
      </w:r>
    </w:p>
    <w:p w:rsidR="001C4F14" w:rsidRDefault="001C4F14"/>
    <w:tbl>
      <w:tblPr>
        <w:tblW w:w="9370" w:type="dxa"/>
        <w:tblCellSpacing w:w="0" w:type="dxa"/>
        <w:shd w:val="clear" w:color="auto" w:fill="FFFFFF"/>
        <w:tblCellMar>
          <w:left w:w="0" w:type="dxa"/>
          <w:right w:w="0" w:type="dxa"/>
        </w:tblCellMar>
        <w:tblLook w:val="04A0" w:firstRow="1" w:lastRow="0" w:firstColumn="1" w:lastColumn="0" w:noHBand="0" w:noVBand="1"/>
      </w:tblPr>
      <w:tblGrid>
        <w:gridCol w:w="9370"/>
      </w:tblGrid>
      <w:tr w:rsidR="001C4F14" w:rsidTr="001C4F14">
        <w:trPr>
          <w:tblCellSpacing w:w="0"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75" w:type="dxa"/>
              <w:left w:w="75" w:type="dxa"/>
              <w:bottom w:w="75" w:type="dxa"/>
              <w:right w:w="75" w:type="dxa"/>
            </w:tcMar>
            <w:vAlign w:val="center"/>
            <w:hideMark/>
          </w:tcPr>
          <w:tbl>
            <w:tblPr>
              <w:tblW w:w="9180" w:type="dxa"/>
              <w:jc w:val="center"/>
              <w:tblCellSpacing w:w="0" w:type="dxa"/>
              <w:tblCellMar>
                <w:left w:w="0" w:type="dxa"/>
                <w:right w:w="0" w:type="dxa"/>
              </w:tblCellMar>
              <w:tblLook w:val="04A0" w:firstRow="1" w:lastRow="0" w:firstColumn="1" w:lastColumn="0" w:noHBand="0" w:noVBand="1"/>
            </w:tblPr>
            <w:tblGrid>
              <w:gridCol w:w="9180"/>
            </w:tblGrid>
            <w:tr w:rsidR="001C4F14">
              <w:trPr>
                <w:tblCellSpacing w:w="0" w:type="dxa"/>
                <w:jc w:val="center"/>
              </w:trPr>
              <w:tc>
                <w:tcPr>
                  <w:tcW w:w="0" w:type="auto"/>
                  <w:vAlign w:val="center"/>
                  <w:hideMark/>
                </w:tcPr>
                <w:p w:rsidR="001C4F14" w:rsidRDefault="001C4F14">
                  <w:r>
                    <w:rPr>
                      <w:noProof/>
                      <w:lang w:eastAsia="en-CA"/>
                    </w:rPr>
                    <w:lastRenderedPageBreak/>
                    <w:drawing>
                      <wp:inline distT="0" distB="0" distL="0" distR="0">
                        <wp:extent cx="5819775" cy="971550"/>
                        <wp:effectExtent l="0" t="0" r="9525" b="0"/>
                        <wp:docPr id="2" name="Picture 2" descr="AMO Polic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576358041744576120_x0000_i1028" descr="AMO Policy Up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971550"/>
                                </a:xfrm>
                                <a:prstGeom prst="rect">
                                  <a:avLst/>
                                </a:prstGeom>
                                <a:noFill/>
                                <a:ln>
                                  <a:noFill/>
                                </a:ln>
                              </pic:spPr>
                            </pic:pic>
                          </a:graphicData>
                        </a:graphic>
                      </wp:inline>
                    </w:drawing>
                  </w:r>
                </w:p>
              </w:tc>
            </w:tr>
            <w:tr w:rsidR="001C4F14">
              <w:trPr>
                <w:tblCellSpacing w:w="0" w:type="dxa"/>
                <w:jc w:val="center"/>
              </w:trPr>
              <w:tc>
                <w:tcPr>
                  <w:tcW w:w="0" w:type="auto"/>
                  <w:shd w:val="clear" w:color="auto" w:fill="FFFFFF"/>
                  <w:tcMar>
                    <w:top w:w="150" w:type="dxa"/>
                    <w:left w:w="0" w:type="dxa"/>
                    <w:bottom w:w="150" w:type="dxa"/>
                    <w:right w:w="0" w:type="dxa"/>
                  </w:tcMar>
                  <w:vAlign w:val="center"/>
                  <w:hideMark/>
                </w:tcPr>
                <w:p w:rsidR="001C4F14" w:rsidRDefault="001C4F14">
                  <w:r>
                    <w:rPr>
                      <w:rFonts w:ascii="Arial" w:hAnsi="Arial" w:cs="Arial"/>
                      <w:color w:val="000000"/>
                      <w:sz w:val="15"/>
                      <w:szCs w:val="15"/>
                    </w:rPr>
                    <w:t>May 7, 2019</w:t>
                  </w:r>
                </w:p>
              </w:tc>
            </w:tr>
            <w:tr w:rsidR="001C4F14">
              <w:trPr>
                <w:tblCellSpacing w:w="0" w:type="dxa"/>
                <w:jc w:val="center"/>
              </w:trPr>
              <w:tc>
                <w:tcPr>
                  <w:tcW w:w="0" w:type="auto"/>
                  <w:shd w:val="clear" w:color="auto" w:fill="FFFFFF"/>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1C4F14">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1C4F14">
                          <w:trPr>
                            <w:tblCellSpacing w:w="0" w:type="dxa"/>
                          </w:trPr>
                          <w:tc>
                            <w:tcPr>
                              <w:tcW w:w="5000" w:type="pct"/>
                              <w:vAlign w:val="center"/>
                              <w:hideMark/>
                            </w:tcPr>
                            <w:p w:rsidR="001C4F14" w:rsidRDefault="001C4F14">
                              <w:pPr>
                                <w:pStyle w:val="NormalWeb"/>
                                <w:jc w:val="center"/>
                              </w:pPr>
                              <w:bookmarkStart w:id="1" w:name="m_-6576358041744576120_n1068013"/>
                              <w:bookmarkEnd w:id="1"/>
                              <w:r>
                                <w:rPr>
                                  <w:rStyle w:val="Strong"/>
                                  <w:rFonts w:ascii="Arial" w:eastAsiaTheme="majorEastAsia" w:hAnsi="Arial" w:cs="Arial"/>
                                  <w:color w:val="000000"/>
                                  <w:sz w:val="36"/>
                                  <w:szCs w:val="36"/>
                                </w:rPr>
                                <w:t>AMO’s Initial Review of</w:t>
                              </w:r>
                              <w:r>
                                <w:rPr>
                                  <w:rFonts w:ascii="Arial" w:hAnsi="Arial" w:cs="Arial"/>
                                  <w:b/>
                                  <w:bCs/>
                                  <w:color w:val="000000"/>
                                  <w:sz w:val="36"/>
                                  <w:szCs w:val="36"/>
                                </w:rPr>
                                <w:br/>
                              </w:r>
                              <w:r>
                                <w:rPr>
                                  <w:rStyle w:val="Strong"/>
                                  <w:rFonts w:ascii="Arial" w:eastAsiaTheme="majorEastAsia" w:hAnsi="Arial" w:cs="Arial"/>
                                  <w:color w:val="000000"/>
                                  <w:sz w:val="36"/>
                                  <w:szCs w:val="36"/>
                                </w:rPr>
                                <w:t>Bill 107, the </w:t>
                              </w:r>
                              <w:r>
                                <w:rPr>
                                  <w:rStyle w:val="Emphasis"/>
                                  <w:rFonts w:ascii="Arial" w:hAnsi="Arial" w:cs="Arial"/>
                                  <w:b/>
                                  <w:bCs/>
                                  <w:color w:val="000000"/>
                                  <w:sz w:val="36"/>
                                  <w:szCs w:val="36"/>
                                </w:rPr>
                                <w:t>Getting Ontario Moving Act</w:t>
                              </w:r>
                              <w:r>
                                <w:rPr>
                                  <w:rStyle w:val="Strong"/>
                                  <w:rFonts w:ascii="Arial" w:eastAsiaTheme="majorEastAsia" w:hAnsi="Arial" w:cs="Arial"/>
                                  <w:color w:val="000000"/>
                                  <w:sz w:val="36"/>
                                  <w:szCs w:val="36"/>
                                </w:rPr>
                                <w:t>, 2019 and</w:t>
                              </w:r>
                              <w:r>
                                <w:rPr>
                                  <w:rFonts w:ascii="Arial" w:hAnsi="Arial" w:cs="Arial"/>
                                  <w:b/>
                                  <w:bCs/>
                                  <w:color w:val="000000"/>
                                  <w:sz w:val="36"/>
                                  <w:szCs w:val="36"/>
                                </w:rPr>
                                <w:br/>
                              </w:r>
                              <w:r>
                                <w:rPr>
                                  <w:rStyle w:val="Strong"/>
                                  <w:rFonts w:ascii="Arial" w:eastAsiaTheme="majorEastAsia" w:hAnsi="Arial" w:cs="Arial"/>
                                  <w:color w:val="000000"/>
                                  <w:sz w:val="36"/>
                                  <w:szCs w:val="36"/>
                                </w:rPr>
                                <w:t>Bill 108, the </w:t>
                              </w:r>
                              <w:r>
                                <w:rPr>
                                  <w:rStyle w:val="Emphasis"/>
                                  <w:rFonts w:ascii="Arial" w:hAnsi="Arial" w:cs="Arial"/>
                                  <w:b/>
                                  <w:bCs/>
                                  <w:color w:val="000000"/>
                                  <w:sz w:val="36"/>
                                  <w:szCs w:val="36"/>
                                </w:rPr>
                                <w:t>More Homes, More Choices Act</w:t>
                              </w:r>
                              <w:r>
                                <w:rPr>
                                  <w:rStyle w:val="Strong"/>
                                  <w:rFonts w:ascii="Arial" w:eastAsiaTheme="majorEastAsia" w:hAnsi="Arial" w:cs="Arial"/>
                                  <w:color w:val="000000"/>
                                  <w:sz w:val="36"/>
                                  <w:szCs w:val="36"/>
                                </w:rPr>
                                <w:t>, 2019</w:t>
                              </w:r>
                            </w:p>
                            <w:p w:rsidR="001C4F14" w:rsidRDefault="001C4F14">
                              <w:pPr>
                                <w:pStyle w:val="NormalWeb"/>
                              </w:pPr>
                              <w:r>
                                <w:rPr>
                                  <w:rFonts w:ascii="Arial" w:hAnsi="Arial" w:cs="Arial"/>
                                  <w:color w:val="000000"/>
                                </w:rPr>
                                <w:t>On May 2</w:t>
                              </w:r>
                              <w:r>
                                <w:rPr>
                                  <w:rFonts w:ascii="Arial" w:hAnsi="Arial" w:cs="Arial"/>
                                  <w:color w:val="000000"/>
                                  <w:vertAlign w:val="superscript"/>
                                </w:rPr>
                                <w:t>nd</w:t>
                              </w:r>
                              <w:r>
                                <w:rPr>
                                  <w:rFonts w:ascii="Arial" w:hAnsi="Arial" w:cs="Arial"/>
                                  <w:color w:val="000000"/>
                                </w:rPr>
                                <w:t xml:space="preserve">, 2019, two Bills of key interest to municipal governments were </w:t>
                              </w:r>
                              <w:proofErr w:type="spellStart"/>
                              <w:r>
                                <w:rPr>
                                  <w:rFonts w:ascii="Arial" w:hAnsi="Arial" w:cs="Arial"/>
                                  <w:color w:val="000000"/>
                                </w:rPr>
                                <w:t>introduced.</w:t>
                              </w:r>
                              <w:hyperlink r:id="rId14" w:tgtFrame="_blank" w:history="1">
                                <w:r>
                                  <w:rPr>
                                    <w:rStyle w:val="Hyperlink"/>
                                    <w:rFonts w:ascii="Arial" w:hAnsi="Arial" w:cs="Arial"/>
                                    <w:color w:val="0000CC"/>
                                  </w:rPr>
                                  <w:t>Bill</w:t>
                                </w:r>
                                <w:proofErr w:type="spellEnd"/>
                                <w:r>
                                  <w:rPr>
                                    <w:rStyle w:val="Hyperlink"/>
                                    <w:rFonts w:ascii="Arial" w:hAnsi="Arial" w:cs="Arial"/>
                                    <w:color w:val="0000CC"/>
                                  </w:rPr>
                                  <w:t xml:space="preserve"> 108, </w:t>
                                </w:r>
                                <w:r>
                                  <w:rPr>
                                    <w:rStyle w:val="Emphasis"/>
                                    <w:rFonts w:ascii="Arial" w:hAnsi="Arial" w:cs="Arial"/>
                                    <w:color w:val="0000CC"/>
                                    <w:u w:val="single"/>
                                  </w:rPr>
                                  <w:t>the More Homes, More Choices Act</w:t>
                                </w:r>
                                <w:r>
                                  <w:rPr>
                                    <w:rStyle w:val="Hyperlink"/>
                                    <w:rFonts w:ascii="Arial" w:hAnsi="Arial" w:cs="Arial"/>
                                    <w:color w:val="0000CC"/>
                                  </w:rPr>
                                  <w:t>, 2019</w:t>
                                </w:r>
                              </w:hyperlink>
                              <w:r>
                                <w:rPr>
                                  <w:rFonts w:ascii="Arial" w:hAnsi="Arial" w:cs="Arial"/>
                                  <w:color w:val="000000"/>
                                </w:rPr>
                                <w:t> addresses the shortage of affordable housing across the province by finding faster ways of getting a greater mix of housing supply on the ground. </w:t>
                              </w:r>
                              <w:hyperlink r:id="rId15" w:tgtFrame="_blank" w:history="1">
                                <w:r>
                                  <w:rPr>
                                    <w:rStyle w:val="Hyperlink"/>
                                    <w:rFonts w:ascii="Arial" w:hAnsi="Arial" w:cs="Arial"/>
                                    <w:color w:val="0000CC"/>
                                  </w:rPr>
                                  <w:t>Bill 107, the </w:t>
                                </w:r>
                                <w:r>
                                  <w:rPr>
                                    <w:rStyle w:val="Emphasis"/>
                                    <w:rFonts w:ascii="Arial" w:hAnsi="Arial" w:cs="Arial"/>
                                    <w:color w:val="0000CC"/>
                                    <w:u w:val="single"/>
                                  </w:rPr>
                                  <w:t>Getting Ontario Moving Act</w:t>
                                </w:r>
                                <w:r>
                                  <w:rPr>
                                    <w:rStyle w:val="Hyperlink"/>
                                    <w:rFonts w:ascii="Arial" w:hAnsi="Arial" w:cs="Arial"/>
                                    <w:color w:val="0000CC"/>
                                  </w:rPr>
                                  <w:t>, 2019</w:t>
                                </w:r>
                              </w:hyperlink>
                              <w:r>
                                <w:rPr>
                                  <w:rFonts w:ascii="Arial" w:hAnsi="Arial" w:cs="Arial"/>
                                  <w:color w:val="000000"/>
                                </w:rPr>
                                <w:t>updates numerous road safety rules and allows the province to assume ownership over Toronto’s subway infrastructure.</w:t>
                              </w:r>
                            </w:p>
                            <w:p w:rsidR="001C4F14" w:rsidRDefault="001C4F14">
                              <w:pPr>
                                <w:pStyle w:val="NormalWeb"/>
                              </w:pPr>
                              <w:r>
                                <w:rPr>
                                  <w:rFonts w:ascii="Arial" w:hAnsi="Arial" w:cs="Arial"/>
                                  <w:color w:val="000000"/>
                                </w:rPr>
                                <w:t>This update will focus on schedules of primary importance to municipal governments. We will continue to analyze the legislation and keep you updated as further information becomes available. A number of changes will require regulations.</w:t>
                              </w:r>
                            </w:p>
                            <w:p w:rsidR="001C4F14" w:rsidRDefault="001C4F14">
                              <w:pPr>
                                <w:pStyle w:val="NormalWeb"/>
                              </w:pPr>
                              <w:r>
                                <w:rPr>
                                  <w:rStyle w:val="Strong"/>
                                  <w:rFonts w:ascii="Arial" w:eastAsiaTheme="majorEastAsia" w:hAnsi="Arial" w:cs="Arial"/>
                                  <w:color w:val="000000"/>
                                </w:rPr>
                                <w:t>Bill 108, </w:t>
                              </w:r>
                              <w:r>
                                <w:rPr>
                                  <w:rStyle w:val="Emphasis"/>
                                  <w:rFonts w:ascii="Arial" w:hAnsi="Arial" w:cs="Arial"/>
                                  <w:b/>
                                  <w:bCs/>
                                  <w:color w:val="000000"/>
                                </w:rPr>
                                <w:t>The More Homes, More Choices Act</w:t>
                              </w:r>
                              <w:r>
                                <w:rPr>
                                  <w:rStyle w:val="Strong"/>
                                  <w:rFonts w:ascii="Arial" w:eastAsiaTheme="majorEastAsia" w:hAnsi="Arial" w:cs="Arial"/>
                                  <w:color w:val="000000"/>
                                </w:rPr>
                                <w:t>, 2019</w:t>
                              </w:r>
                            </w:p>
                            <w:p w:rsidR="001C4F14" w:rsidRDefault="001C4F14">
                              <w:pPr>
                                <w:pStyle w:val="NormalWeb"/>
                              </w:pPr>
                              <w:r>
                                <w:rPr>
                                  <w:rFonts w:ascii="Arial" w:hAnsi="Arial" w:cs="Arial"/>
                                  <w:color w:val="000000"/>
                                </w:rPr>
                                <w:t>The Bill contains numerous amendments to many pieces of legislation. Considering the pressure on the Ontario government, Bill 108 contains some positives for municipal governments. Other aspects of the Bill may result in financial and service impacts that need to be determined. We have put the Schedules in order of primary importance.</w:t>
                              </w:r>
                            </w:p>
                            <w:p w:rsidR="001C4F14" w:rsidRDefault="001C4F14">
                              <w:pPr>
                                <w:pStyle w:val="NormalWeb"/>
                              </w:pPr>
                              <w:r>
                                <w:rPr>
                                  <w:rStyle w:val="Strong"/>
                                  <w:rFonts w:ascii="Arial" w:eastAsiaTheme="majorEastAsia" w:hAnsi="Arial" w:cs="Arial"/>
                                  <w:color w:val="000000"/>
                                </w:rPr>
                                <w:t>Schedule 3 – Amendments to the</w:t>
                              </w:r>
                              <w:r>
                                <w:rPr>
                                  <w:rStyle w:val="Emphasis"/>
                                  <w:rFonts w:ascii="Arial" w:hAnsi="Arial" w:cs="Arial"/>
                                  <w:b/>
                                  <w:bCs/>
                                  <w:color w:val="000000"/>
                                </w:rPr>
                                <w:t> </w:t>
                              </w:r>
                              <w:r>
                                <w:rPr>
                                  <w:rStyle w:val="il"/>
                                  <w:rFonts w:ascii="Arial" w:hAnsi="Arial" w:cs="Arial"/>
                                  <w:b/>
                                  <w:bCs/>
                                  <w:i/>
                                  <w:iCs/>
                                  <w:color w:val="000000"/>
                                </w:rPr>
                                <w:t>Development</w:t>
                              </w:r>
                              <w:r>
                                <w:rPr>
                                  <w:rStyle w:val="Emphasis"/>
                                  <w:rFonts w:ascii="Arial" w:hAnsi="Arial" w:cs="Arial"/>
                                  <w:b/>
                                  <w:bCs/>
                                  <w:color w:val="000000"/>
                                </w:rPr>
                                <w:t> </w:t>
                              </w:r>
                              <w:r>
                                <w:rPr>
                                  <w:rStyle w:val="il"/>
                                  <w:rFonts w:ascii="Arial" w:hAnsi="Arial" w:cs="Arial"/>
                                  <w:b/>
                                  <w:bCs/>
                                  <w:i/>
                                  <w:iCs/>
                                  <w:color w:val="000000"/>
                                </w:rPr>
                                <w:t>Charges</w:t>
                              </w:r>
                              <w:r>
                                <w:rPr>
                                  <w:rStyle w:val="Emphasis"/>
                                  <w:rFonts w:ascii="Arial" w:hAnsi="Arial" w:cs="Arial"/>
                                  <w:b/>
                                  <w:bCs/>
                                  <w:color w:val="000000"/>
                                </w:rPr>
                                <w:t> Act</w:t>
                              </w:r>
                            </w:p>
                            <w:p w:rsidR="001C4F14" w:rsidRDefault="001C4F14">
                              <w:pPr>
                                <w:pStyle w:val="NormalWeb"/>
                              </w:pPr>
                              <w:r>
                                <w:rPr>
                                  <w:rFonts w:ascii="Arial" w:hAnsi="Arial" w:cs="Arial"/>
                                  <w:color w:val="000000"/>
                                </w:rPr>
                                <w:t>The Housing Supply Action Plan reflects the long-standing idea that growth should pay for growth but brings some changes that will alter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 (DCs). These include:</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The separation of DCs and a new Community Benefits </w:t>
                              </w:r>
                              <w:r>
                                <w:rPr>
                                  <w:rStyle w:val="il"/>
                                  <w:rFonts w:ascii="Arial" w:hAnsi="Arial" w:cs="Arial"/>
                                  <w:color w:val="000000"/>
                                </w:rPr>
                                <w:t>Charge</w:t>
                              </w:r>
                              <w:r>
                                <w:rPr>
                                  <w:rFonts w:ascii="Arial" w:hAnsi="Arial" w:cs="Arial"/>
                                  <w:color w:val="000000"/>
                                </w:rPr>
                                <w:t> (CBC) regime to pay for as yet unspecified municipal services. Greater clarity is needed and will be provided through anticipated regulations. CBCs are discussed under Schedule 12.</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Municipal governments may now </w:t>
                              </w:r>
                              <w:r>
                                <w:rPr>
                                  <w:rStyle w:val="il"/>
                                  <w:rFonts w:ascii="Arial" w:hAnsi="Arial" w:cs="Arial"/>
                                  <w:color w:val="000000"/>
                                </w:rPr>
                                <w:t>charge</w:t>
                              </w:r>
                              <w:r>
                                <w:rPr>
                                  <w:rFonts w:ascii="Arial" w:hAnsi="Arial" w:cs="Arial"/>
                                  <w:color w:val="000000"/>
                                </w:rPr>
                                <w:t> the full capital costs of waste diversion services in the calculation of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 (not including landfill sites, landfill services, or incineration). This is a positive </w:t>
                              </w:r>
                              <w:r>
                                <w:rPr>
                                  <w:rStyle w:val="il"/>
                                  <w:rFonts w:ascii="Arial" w:hAnsi="Arial" w:cs="Arial"/>
                                  <w:color w:val="000000"/>
                                </w:rPr>
                                <w:t>development</w:t>
                              </w:r>
                              <w:r>
                                <w:rPr>
                                  <w:rFonts w:ascii="Arial" w:hAnsi="Arial" w:cs="Arial"/>
                                  <w:color w:val="000000"/>
                                </w:rPr>
                                <w:t>.</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lastRenderedPageBreak/>
                                <w:t>Proposed changes also affect rules on when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w:t>
                              </w:r>
                              <w:r>
                                <w:rPr>
                                  <w:rFonts w:ascii="Arial" w:hAnsi="Arial" w:cs="Arial"/>
                                  <w:color w:val="000000"/>
                                </w:rPr>
                                <w:t> </w:t>
                              </w:r>
                              <w:proofErr w:type="gramStart"/>
                              <w:r>
                                <w:rPr>
                                  <w:rFonts w:ascii="Arial" w:hAnsi="Arial" w:cs="Arial"/>
                                  <w:color w:val="000000"/>
                                </w:rPr>
                                <w:t>are</w:t>
                              </w:r>
                              <w:proofErr w:type="gramEnd"/>
                              <w:r>
                                <w:rPr>
                                  <w:rFonts w:ascii="Arial" w:hAnsi="Arial" w:cs="Arial"/>
                                  <w:color w:val="000000"/>
                                </w:rPr>
                                <w:t xml:space="preserve"> payable if the </w:t>
                              </w:r>
                              <w:r>
                                <w:rPr>
                                  <w:rStyle w:val="il"/>
                                  <w:rFonts w:ascii="Arial" w:hAnsi="Arial" w:cs="Arial"/>
                                  <w:color w:val="000000"/>
                                </w:rPr>
                                <w:t>development</w:t>
                              </w:r>
                              <w:r>
                                <w:rPr>
                                  <w:rFonts w:ascii="Arial" w:hAnsi="Arial" w:cs="Arial"/>
                                  <w:color w:val="000000"/>
                                </w:rPr>
                                <w:t> is rental housing, institutional, commercial, industrial or non-profit housing. In these cases,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w:t>
                              </w:r>
                              <w:r>
                                <w:rPr>
                                  <w:rFonts w:ascii="Arial" w:hAnsi="Arial" w:cs="Arial"/>
                                  <w:color w:val="000000"/>
                                </w:rPr>
                                <w:t> payments to the municipality will now be made as six annual instalments commencing upon occupancy. Municipal governments may </w:t>
                              </w:r>
                              <w:r>
                                <w:rPr>
                                  <w:rStyle w:val="il"/>
                                  <w:rFonts w:ascii="Arial" w:hAnsi="Arial" w:cs="Arial"/>
                                  <w:color w:val="000000"/>
                                </w:rPr>
                                <w:t>charge</w:t>
                              </w:r>
                              <w:r>
                                <w:rPr>
                                  <w:rFonts w:ascii="Arial" w:hAnsi="Arial" w:cs="Arial"/>
                                  <w:color w:val="000000"/>
                                </w:rPr>
                                <w:t> interest from the time of building permit issue and the interest rate will be determined by regulation. Notably, front-ending payment agreements reached prior to the Act coming into force will be preserved.</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Against municipal advice, second dwellings or dwelling units will be exempt from </w:t>
                              </w:r>
                              <w:proofErr w:type="spellStart"/>
                              <w:r>
                                <w:rPr>
                                  <w:rStyle w:val="il"/>
                                  <w:rFonts w:ascii="Arial" w:hAnsi="Arial" w:cs="Arial"/>
                                  <w:color w:val="000000"/>
                                </w:rPr>
                                <w:t>developmentcharges</w:t>
                              </w:r>
                              <w:proofErr w:type="spellEnd"/>
                              <w:r>
                                <w:rPr>
                                  <w:rFonts w:ascii="Arial" w:hAnsi="Arial" w:cs="Arial"/>
                                  <w:color w:val="000000"/>
                                </w:rPr>
                                <w:t>.</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Public library material (for reference or circulation) will also be excluded from </w:t>
                              </w:r>
                              <w:proofErr w:type="spellStart"/>
                              <w:r>
                                <w:rPr>
                                  <w:rStyle w:val="il"/>
                                  <w:rFonts w:ascii="Arial" w:hAnsi="Arial" w:cs="Arial"/>
                                  <w:color w:val="000000"/>
                                </w:rPr>
                                <w:t>developmentcharge</w:t>
                              </w:r>
                              <w:proofErr w:type="spellEnd"/>
                              <w:r>
                                <w:rPr>
                                  <w:rFonts w:ascii="Arial" w:hAnsi="Arial" w:cs="Arial"/>
                                  <w:color w:val="000000"/>
                                </w:rPr>
                                <w:t> calculations.</w:t>
                              </w:r>
                            </w:p>
                            <w:p w:rsidR="001C4F14" w:rsidRDefault="001C4F14">
                              <w:pPr>
                                <w:pStyle w:val="NormalWeb"/>
                              </w:pPr>
                              <w:r>
                                <w:rPr>
                                  <w:rFonts w:ascii="Arial" w:hAnsi="Arial" w:cs="Arial"/>
                                  <w:color w:val="000000"/>
                                </w:rPr>
                                <w:t>A deeper analysis of Schedule 3 and its potential impacts is underway. Once completed, we will provide members with this information.</w:t>
                              </w:r>
                            </w:p>
                            <w:p w:rsidR="001C4F14" w:rsidRDefault="001C4F14">
                              <w:pPr>
                                <w:pStyle w:val="NormalWeb"/>
                              </w:pPr>
                              <w:r>
                                <w:rPr>
                                  <w:rStyle w:val="Strong"/>
                                  <w:rFonts w:ascii="Arial" w:eastAsiaTheme="majorEastAsia" w:hAnsi="Arial" w:cs="Arial"/>
                                  <w:color w:val="000000"/>
                                </w:rPr>
                                <w:t>Schedule 9 – Amendments to the </w:t>
                              </w:r>
                              <w:r>
                                <w:rPr>
                                  <w:rStyle w:val="Emphasis"/>
                                  <w:rFonts w:ascii="Arial" w:hAnsi="Arial" w:cs="Arial"/>
                                  <w:b/>
                                  <w:bCs/>
                                  <w:color w:val="000000"/>
                                </w:rPr>
                                <w:t>Local Planning Appeal Tribunal Act</w:t>
                              </w:r>
                            </w:p>
                            <w:p w:rsidR="001C4F14" w:rsidRDefault="001C4F14">
                              <w:pPr>
                                <w:pStyle w:val="NormalWeb"/>
                              </w:pPr>
                              <w:r>
                                <w:rPr>
                                  <w:rFonts w:ascii="Arial" w:hAnsi="Arial" w:cs="Arial"/>
                                  <w:color w:val="000000"/>
                                </w:rPr>
                                <w:t>The LPAT remains but will no longer evaluate appeals based on compliance with official plans and consistency with provincial plans and policy. Instead, it will return to a “best planning outcome” approach. This means a return to </w:t>
                              </w:r>
                              <w:r>
                                <w:rPr>
                                  <w:rStyle w:val="Emphasis"/>
                                  <w:rFonts w:ascii="Arial" w:hAnsi="Arial" w:cs="Arial"/>
                                  <w:color w:val="000000"/>
                                </w:rPr>
                                <w:t>de novo </w:t>
                              </w:r>
                              <w:r>
                                <w:rPr>
                                  <w:rFonts w:ascii="Arial" w:hAnsi="Arial" w:cs="Arial"/>
                                  <w:color w:val="000000"/>
                                </w:rPr>
                                <w:t>hearings. This is very disappointing for municipal governments as it will again take final planning decisions out of elected councils’ hands. Historically, the use of a </w:t>
                              </w:r>
                              <w:r>
                                <w:rPr>
                                  <w:rStyle w:val="Emphasis"/>
                                  <w:rFonts w:ascii="Arial" w:hAnsi="Arial" w:cs="Arial"/>
                                  <w:color w:val="000000"/>
                                </w:rPr>
                                <w:t>de novo</w:t>
                              </w:r>
                              <w:r>
                                <w:rPr>
                                  <w:rFonts w:ascii="Arial" w:hAnsi="Arial" w:cs="Arial"/>
                                  <w:color w:val="000000"/>
                                </w:rPr>
                                <w:t> approach to appeals has drawn out hearings. It is unclear how this reversal will speed up housing </w:t>
                              </w:r>
                              <w:r>
                                <w:rPr>
                                  <w:rStyle w:val="il"/>
                                  <w:rFonts w:ascii="Arial" w:hAnsi="Arial" w:cs="Arial"/>
                                  <w:color w:val="000000"/>
                                </w:rPr>
                                <w:t>development</w:t>
                              </w:r>
                              <w:r>
                                <w:rPr>
                                  <w:rFonts w:ascii="Arial" w:hAnsi="Arial" w:cs="Arial"/>
                                  <w:color w:val="000000"/>
                                </w:rPr>
                                <w:t>.</w:t>
                              </w:r>
                            </w:p>
                            <w:p w:rsidR="001C4F14" w:rsidRDefault="001C4F14">
                              <w:pPr>
                                <w:pStyle w:val="NormalWeb"/>
                              </w:pPr>
                              <w:r>
                                <w:rPr>
                                  <w:rFonts w:ascii="Arial" w:hAnsi="Arial" w:cs="Arial"/>
                                  <w:color w:val="000000"/>
                                </w:rPr>
                                <w:t>On the positive side, the Bill proposes limits to third party appeals of subdivisions and promotes increased mediation to resolve appeals. There will also be new limits on the extent of testimony. As well, the province has committed to hiring additional staff to help deal with the existing LPAT case backlog that arose from the OMB process and transition. It may be that current land use applications at Council tables are withdrawn to come in after Bill 108 rules take effect. AMO will consult with the Ministry as transition rules and accompanying regulations are considered.</w:t>
                              </w:r>
                            </w:p>
                            <w:p w:rsidR="001C4F14" w:rsidRDefault="001C4F14">
                              <w:pPr>
                                <w:pStyle w:val="NormalWeb"/>
                              </w:pPr>
                              <w:r>
                                <w:rPr>
                                  <w:rStyle w:val="Strong"/>
                                  <w:rFonts w:ascii="Arial" w:eastAsiaTheme="majorEastAsia" w:hAnsi="Arial" w:cs="Arial"/>
                                  <w:color w:val="000000"/>
                                </w:rPr>
                                <w:t>Schedule 12 – Amendments to the</w:t>
                              </w:r>
                              <w:r>
                                <w:rPr>
                                  <w:rStyle w:val="Emphasis"/>
                                  <w:rFonts w:ascii="Arial" w:hAnsi="Arial" w:cs="Arial"/>
                                  <w:b/>
                                  <w:bCs/>
                                  <w:color w:val="000000"/>
                                </w:rPr>
                                <w:t> Planning Act</w:t>
                              </w:r>
                            </w:p>
                            <w:p w:rsidR="001C4F14" w:rsidRDefault="001C4F14">
                              <w:pPr>
                                <w:pStyle w:val="NormalWeb"/>
                              </w:pPr>
                              <w:r>
                                <w:rPr>
                                  <w:rFonts w:ascii="Arial" w:hAnsi="Arial" w:cs="Arial"/>
                                  <w:color w:val="000000"/>
                                </w:rPr>
                                <w:t>The proposed Bill touches on numerous land use planning policies. Overall, these changes may have the desired effect of increasing the mix of housing and speeding up the process.</w:t>
                              </w:r>
                            </w:p>
                            <w:p w:rsidR="001C4F14" w:rsidRDefault="001C4F14">
                              <w:pPr>
                                <w:pStyle w:val="NormalWeb"/>
                              </w:pPr>
                              <w:r>
                                <w:rPr>
                                  <w:rFonts w:ascii="Arial" w:hAnsi="Arial" w:cs="Arial"/>
                                  <w:color w:val="000000"/>
                                </w:rPr>
                                <w:t>To facilitate housing mix, the Bill would allow the creation of second units in ancillary buildings. It also reduces timelines for making decisions related to official plans from 210 to 120 days and from 150 to 90 days for zoning by-law amendments. It also proposes to shelter plans of subdivision from third party appeals.</w:t>
                              </w:r>
                            </w:p>
                            <w:p w:rsidR="001C4F14" w:rsidRDefault="001C4F14">
                              <w:pPr>
                                <w:pStyle w:val="NormalWeb"/>
                              </w:pPr>
                              <w:r>
                                <w:rPr>
                                  <w:rFonts w:ascii="Arial" w:hAnsi="Arial" w:cs="Arial"/>
                                  <w:color w:val="000000"/>
                                </w:rPr>
                                <w:t xml:space="preserve">The schedule also proposes to change the conditions under which municipal governments can establish inclusionary zoning by-laws and policies to facilitate </w:t>
                              </w:r>
                              <w:r>
                                <w:rPr>
                                  <w:rFonts w:ascii="Arial" w:hAnsi="Arial" w:cs="Arial"/>
                                  <w:color w:val="000000"/>
                                </w:rPr>
                                <w:lastRenderedPageBreak/>
                                <w:t>affordable housing </w:t>
                              </w:r>
                              <w:r>
                                <w:rPr>
                                  <w:rStyle w:val="il"/>
                                  <w:rFonts w:ascii="Arial" w:hAnsi="Arial" w:cs="Arial"/>
                                  <w:color w:val="000000"/>
                                </w:rPr>
                                <w:t>development</w:t>
                              </w:r>
                              <w:r>
                                <w:rPr>
                                  <w:rFonts w:ascii="Arial" w:hAnsi="Arial" w:cs="Arial"/>
                                  <w:color w:val="000000"/>
                                </w:rPr>
                                <w:t>. Inclusionary zoning would be limited to areas around protected major transit stations or areas with a </w:t>
                              </w:r>
                              <w:r>
                                <w:rPr>
                                  <w:rStyle w:val="il"/>
                                  <w:rFonts w:ascii="Arial" w:hAnsi="Arial" w:cs="Arial"/>
                                  <w:color w:val="000000"/>
                                </w:rPr>
                                <w:t>development</w:t>
                              </w:r>
                              <w:r>
                                <w:rPr>
                                  <w:rFonts w:ascii="Arial" w:hAnsi="Arial" w:cs="Arial"/>
                                  <w:color w:val="000000"/>
                                </w:rPr>
                                <w:t> permit system in place. The Bill would also allow the Minister of Municipal Affairs and Housing to exercise authority to order an area to be subject to inclusionary zoning. These proposed changes will continue to allow municipal governments the ability to enact inclusionary zoning but will restrict the application of this affordable housing tool.</w:t>
                              </w:r>
                            </w:p>
                            <w:p w:rsidR="001C4F14" w:rsidRDefault="001C4F14">
                              <w:pPr>
                                <w:pStyle w:val="NormalWeb"/>
                              </w:pPr>
                              <w:r>
                                <w:rPr>
                                  <w:rFonts w:ascii="Arial" w:hAnsi="Arial" w:cs="Arial"/>
                                  <w:color w:val="000000"/>
                                </w:rPr>
                                <w:t>Another change is that either the municipality or the Minister can initiate the use of a Community Planning Permit System (CPPS) in areas strategic for housing growth.</w:t>
                              </w:r>
                            </w:p>
                            <w:p w:rsidR="001C4F14" w:rsidRDefault="001C4F14">
                              <w:pPr>
                                <w:pStyle w:val="NormalWeb"/>
                              </w:pPr>
                              <w:r>
                                <w:rPr>
                                  <w:rFonts w:ascii="Arial" w:hAnsi="Arial" w:cs="Arial"/>
                                  <w:color w:val="000000"/>
                                </w:rPr>
                                <w:t>The proposed legislation also introduces a new Community Benefits </w:t>
                              </w:r>
                              <w:r>
                                <w:rPr>
                                  <w:rStyle w:val="il"/>
                                  <w:rFonts w:ascii="Arial" w:hAnsi="Arial" w:cs="Arial"/>
                                  <w:color w:val="000000"/>
                                </w:rPr>
                                <w:t>Charge</w:t>
                              </w:r>
                              <w:r>
                                <w:rPr>
                                  <w:rFonts w:ascii="Arial" w:hAnsi="Arial" w:cs="Arial"/>
                                  <w:color w:val="000000"/>
                                </w:rPr>
                                <w:t> (CBC) regime to address the costs of providing services to new residents as a result of growth. This is a change to Section 37 allowing a municipality, through a by-law defining an area, to impose community benefits </w:t>
                              </w:r>
                              <w:r>
                                <w:rPr>
                                  <w:rStyle w:val="il"/>
                                  <w:rFonts w:ascii="Arial" w:hAnsi="Arial" w:cs="Arial"/>
                                  <w:color w:val="000000"/>
                                </w:rPr>
                                <w:t>charges</w:t>
                              </w:r>
                              <w:r>
                                <w:rPr>
                                  <w:rFonts w:ascii="Arial" w:hAnsi="Arial" w:cs="Arial"/>
                                  <w:color w:val="000000"/>
                                </w:rPr>
                                <w:t> against land to pay for capital costs of facilities, services and matters required because of </w:t>
                              </w:r>
                              <w:r>
                                <w:rPr>
                                  <w:rStyle w:val="il"/>
                                  <w:rFonts w:ascii="Arial" w:hAnsi="Arial" w:cs="Arial"/>
                                  <w:color w:val="000000"/>
                                </w:rPr>
                                <w:t>development</w:t>
                              </w:r>
                              <w:r>
                                <w:rPr>
                                  <w:rFonts w:ascii="Arial" w:hAnsi="Arial" w:cs="Arial"/>
                                  <w:color w:val="000000"/>
                                </w:rPr>
                                <w:t> or redevelopment in the area. Notably, costs of growth eligible for </w:t>
                              </w:r>
                              <w:r>
                                <w:rPr>
                                  <w:rStyle w:val="il"/>
                                  <w:rFonts w:ascii="Arial" w:hAnsi="Arial" w:cs="Arial"/>
                                  <w:color w:val="000000"/>
                                </w:rPr>
                                <w:t>development</w:t>
                              </w:r>
                              <w:r>
                                <w:rPr>
                                  <w:rFonts w:ascii="Arial" w:hAnsi="Arial" w:cs="Arial"/>
                                  <w:color w:val="000000"/>
                                </w:rPr>
                                <w:t> </w:t>
                              </w:r>
                              <w:proofErr w:type="spellStart"/>
                              <w:r>
                                <w:rPr>
                                  <w:rStyle w:val="il"/>
                                  <w:rFonts w:ascii="Arial" w:hAnsi="Arial" w:cs="Arial"/>
                                  <w:color w:val="000000"/>
                                </w:rPr>
                                <w:t>charges</w:t>
                              </w:r>
                              <w:r>
                                <w:rPr>
                                  <w:rFonts w:ascii="Arial" w:hAnsi="Arial" w:cs="Arial"/>
                                  <w:color w:val="000000"/>
                                </w:rPr>
                                <w:t>are</w:t>
                              </w:r>
                              <w:proofErr w:type="spellEnd"/>
                              <w:r>
                                <w:rPr>
                                  <w:rFonts w:ascii="Arial" w:hAnsi="Arial" w:cs="Arial"/>
                                  <w:color w:val="000000"/>
                                </w:rPr>
                                <w:t xml:space="preserve"> excluded from the new Community Benefits framework.</w:t>
                              </w:r>
                            </w:p>
                            <w:p w:rsidR="001C4F14" w:rsidRDefault="001C4F14">
                              <w:pPr>
                                <w:pStyle w:val="NormalWeb"/>
                              </w:pPr>
                              <w:r>
                                <w:rPr>
                                  <w:rFonts w:ascii="Arial" w:hAnsi="Arial" w:cs="Arial"/>
                                  <w:color w:val="000000"/>
                                </w:rPr>
                                <w:t>The CBC by-law will be based on a strategy produced by the municipality which identifies the costs of growth not covered by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  As well, the Ministry of Municipal Affairs and Housing will be preparing a list of eligible items for the </w:t>
                              </w:r>
                              <w:r>
                                <w:rPr>
                                  <w:rStyle w:val="il"/>
                                  <w:rFonts w:ascii="Arial" w:hAnsi="Arial" w:cs="Arial"/>
                                  <w:color w:val="000000"/>
                                </w:rPr>
                                <w:t>charge</w:t>
                              </w:r>
                              <w:r>
                                <w:rPr>
                                  <w:rFonts w:ascii="Arial" w:hAnsi="Arial" w:cs="Arial"/>
                                  <w:color w:val="000000"/>
                                </w:rPr>
                                <w:t>, methodology for calculating the </w:t>
                              </w:r>
                              <w:r>
                                <w:rPr>
                                  <w:rStyle w:val="il"/>
                                  <w:rFonts w:ascii="Arial" w:hAnsi="Arial" w:cs="Arial"/>
                                  <w:color w:val="000000"/>
                                </w:rPr>
                                <w:t>charge</w:t>
                              </w:r>
                              <w:r>
                                <w:rPr>
                                  <w:rFonts w:ascii="Arial" w:hAnsi="Arial" w:cs="Arial"/>
                                  <w:color w:val="000000"/>
                                </w:rPr>
                                <w:t> and any caps they may deem necessary.  AMO has discussed with the province the need for a transparent transition to this new means of recuperating the cost of growth. </w:t>
                              </w:r>
                            </w:p>
                            <w:p w:rsidR="001C4F14" w:rsidRDefault="001C4F14">
                              <w:pPr>
                                <w:pStyle w:val="NormalWeb"/>
                              </w:pPr>
                              <w:r>
                                <w:rPr>
                                  <w:rFonts w:ascii="Arial" w:hAnsi="Arial" w:cs="Arial"/>
                                  <w:color w:val="000000"/>
                                </w:rPr>
                                <w:t>It should be noted that the CBC will be held in a special account and these funds must be spent in keeping with the Act and regulations. Specifically, each year a municipality will have to spend or allocate at least 60 per cent of the monies that are in the special account at the beginning of the year. Certain lands (i.e. hospitals) will be exempted from the new Community Benefits regime. These exemptions will be listed in a future regulation.</w:t>
                              </w:r>
                            </w:p>
                            <w:p w:rsidR="001C4F14" w:rsidRDefault="001C4F14">
                              <w:pPr>
                                <w:pStyle w:val="NormalWeb"/>
                              </w:pPr>
                              <w:r>
                                <w:rPr>
                                  <w:rFonts w:ascii="Arial" w:hAnsi="Arial" w:cs="Arial"/>
                                  <w:color w:val="000000"/>
                                </w:rPr>
                                <w:t>Another proposed change relates to parkland. Parkland costs can be included in the Community Benefits </w:t>
                              </w:r>
                              <w:r>
                                <w:rPr>
                                  <w:rStyle w:val="il"/>
                                  <w:rFonts w:ascii="Arial" w:hAnsi="Arial" w:cs="Arial"/>
                                  <w:color w:val="000000"/>
                                </w:rPr>
                                <w:t>Charge</w:t>
                              </w:r>
                              <w:r>
                                <w:rPr>
                                  <w:rFonts w:ascii="Arial" w:hAnsi="Arial" w:cs="Arial"/>
                                  <w:color w:val="000000"/>
                                </w:rPr>
                                <w:t> or they can be </w:t>
                              </w:r>
                              <w:r>
                                <w:rPr>
                                  <w:rStyle w:val="il"/>
                                  <w:rFonts w:ascii="Arial" w:hAnsi="Arial" w:cs="Arial"/>
                                  <w:color w:val="000000"/>
                                </w:rPr>
                                <w:t>charged</w:t>
                              </w:r>
                              <w:r>
                                <w:rPr>
                                  <w:rFonts w:ascii="Arial" w:hAnsi="Arial" w:cs="Arial"/>
                                  <w:color w:val="000000"/>
                                </w:rPr>
                                <w:t> under subsection 42 (1). However, there will be changes to the methodology.</w:t>
                              </w:r>
                            </w:p>
                            <w:p w:rsidR="001C4F14" w:rsidRDefault="001C4F14">
                              <w:pPr>
                                <w:pStyle w:val="NormalWeb"/>
                              </w:pPr>
                              <w:r>
                                <w:rPr>
                                  <w:rFonts w:ascii="Arial" w:hAnsi="Arial" w:cs="Arial"/>
                                  <w:color w:val="000000"/>
                                </w:rPr>
                                <w:t>AMO will continue to monitor additional details as they become available. If Bill 108 becomes law, many regulations would be required for implementation.</w:t>
                              </w:r>
                            </w:p>
                            <w:p w:rsidR="001C4F14" w:rsidRDefault="001C4F14">
                              <w:pPr>
                                <w:pStyle w:val="NormalWeb"/>
                              </w:pPr>
                              <w:r>
                                <w:rPr>
                                  <w:rStyle w:val="Strong"/>
                                  <w:rFonts w:ascii="Arial" w:eastAsiaTheme="majorEastAsia" w:hAnsi="Arial" w:cs="Arial"/>
                                  <w:color w:val="000000"/>
                                </w:rPr>
                                <w:t>Schedule 2 – Amendments to the </w:t>
                              </w:r>
                              <w:r>
                                <w:rPr>
                                  <w:rStyle w:val="Emphasis"/>
                                  <w:rFonts w:ascii="Arial" w:hAnsi="Arial" w:cs="Arial"/>
                                  <w:b/>
                                  <w:bCs/>
                                  <w:color w:val="000000"/>
                                </w:rPr>
                                <w:t>Conservation Authorities Act</w:t>
                              </w:r>
                            </w:p>
                            <w:p w:rsidR="001C4F14" w:rsidRDefault="001C4F14">
                              <w:pPr>
                                <w:pStyle w:val="NormalWeb"/>
                              </w:pPr>
                              <w:r>
                                <w:rPr>
                                  <w:rFonts w:ascii="Arial" w:hAnsi="Arial" w:cs="Arial"/>
                                  <w:color w:val="000000"/>
                                </w:rPr>
                                <w:t>Schedule 2 introduces a new concept of Conservation Authority (CA) ‘core services.</w:t>
                              </w:r>
                              <w:proofErr w:type="gramStart"/>
                              <w:r>
                                <w:rPr>
                                  <w:rFonts w:ascii="Arial" w:hAnsi="Arial" w:cs="Arial"/>
                                  <w:color w:val="000000"/>
                                </w:rPr>
                                <w:t>’‘ Core</w:t>
                              </w:r>
                              <w:proofErr w:type="gramEnd"/>
                              <w:r>
                                <w:rPr>
                                  <w:rFonts w:ascii="Arial" w:hAnsi="Arial" w:cs="Arial"/>
                                  <w:color w:val="000000"/>
                                </w:rPr>
                                <w:t xml:space="preserve"> services’ includes programs and services related to natural hazard risks, land management and conservation of lands owned or controlled by the authority, source water protection under </w:t>
                              </w:r>
                              <w:r>
                                <w:rPr>
                                  <w:rStyle w:val="Emphasis"/>
                                  <w:rFonts w:ascii="Arial" w:hAnsi="Arial" w:cs="Arial"/>
                                  <w:color w:val="000000"/>
                                </w:rPr>
                                <w:t>the Clear Water Act, 2006, </w:t>
                              </w:r>
                              <w:r>
                                <w:rPr>
                                  <w:rFonts w:ascii="Arial" w:hAnsi="Arial" w:cs="Arial"/>
                                  <w:color w:val="000000"/>
                                </w:rPr>
                                <w:t xml:space="preserve">and other CA responsibilities under </w:t>
                              </w:r>
                              <w:r>
                                <w:rPr>
                                  <w:rFonts w:ascii="Arial" w:hAnsi="Arial" w:cs="Arial"/>
                                  <w:color w:val="000000"/>
                                </w:rPr>
                                <w:lastRenderedPageBreak/>
                                <w:t>legislation as prescribed in regulations. As well, the Lake Simcoe Conservation Authority has specific responsibilities related to the </w:t>
                              </w:r>
                              <w:r>
                                <w:rPr>
                                  <w:rStyle w:val="Emphasis"/>
                                  <w:rFonts w:ascii="Arial" w:hAnsi="Arial" w:cs="Arial"/>
                                  <w:color w:val="000000"/>
                                </w:rPr>
                                <w:t>Lake Simcoe Act</w:t>
                              </w:r>
                              <w:r>
                                <w:rPr>
                                  <w:rFonts w:ascii="Arial" w:hAnsi="Arial" w:cs="Arial"/>
                                  <w:color w:val="000000"/>
                                </w:rPr>
                                <w:t>. Expectations on the standards and expectations for these core services will be set out in regulations.</w:t>
                              </w:r>
                            </w:p>
                            <w:p w:rsidR="001C4F14" w:rsidRDefault="001C4F14">
                              <w:pPr>
                                <w:pStyle w:val="NormalWeb"/>
                              </w:pPr>
                              <w:r>
                                <w:rPr>
                                  <w:rFonts w:ascii="Arial" w:hAnsi="Arial" w:cs="Arial"/>
                                  <w:color w:val="000000"/>
                                </w:rPr>
                                <w:t>The draft amendments will also require CAs to enter into memoranda of understanding with municipal governments on service delivery to avoid duplication, especially where planning and </w:t>
                              </w:r>
                              <w:r>
                                <w:rPr>
                                  <w:rStyle w:val="il"/>
                                  <w:rFonts w:ascii="Arial" w:hAnsi="Arial" w:cs="Arial"/>
                                  <w:color w:val="000000"/>
                                </w:rPr>
                                <w:t>development</w:t>
                              </w:r>
                              <w:r>
                                <w:rPr>
                                  <w:rFonts w:ascii="Arial" w:hAnsi="Arial" w:cs="Arial"/>
                                  <w:color w:val="000000"/>
                                </w:rPr>
                                <w:t> are concerned. Knowing what CAs are required to do, what is discretionary and how this impacts the levy as part of a municipal agreement is welcomed.</w:t>
                              </w:r>
                            </w:p>
                            <w:p w:rsidR="001C4F14" w:rsidRDefault="001C4F14">
                              <w:pPr>
                                <w:pStyle w:val="NormalWeb"/>
                              </w:pPr>
                              <w:r>
                                <w:rPr>
                                  <w:rFonts w:ascii="Arial" w:hAnsi="Arial" w:cs="Arial"/>
                                  <w:color w:val="000000"/>
                                </w:rPr>
                                <w:t>This schedule also includes governance and oversight-related provisions such as CA board member training and Minister oversight. Assurances that Conservation Authority Board members have training about their responsibilities is good governance.</w:t>
                              </w:r>
                            </w:p>
                            <w:p w:rsidR="001C4F14" w:rsidRDefault="001C4F14">
                              <w:pPr>
                                <w:pStyle w:val="NormalWeb"/>
                              </w:pPr>
                              <w:r>
                                <w:rPr>
                                  <w:rFonts w:ascii="Arial" w:hAnsi="Arial" w:cs="Arial"/>
                                  <w:color w:val="000000"/>
                                </w:rPr>
                                <w:t>AMO will participate in discussions with the Ministry of Natural Resources and Forestry and the Ministry of Environment, Conservation and Parks on the implementation of these changes, including draft regulations, in the months ahead.</w:t>
                              </w:r>
                            </w:p>
                            <w:p w:rsidR="001C4F14" w:rsidRDefault="001C4F14">
                              <w:pPr>
                                <w:pStyle w:val="NormalWeb"/>
                              </w:pPr>
                              <w:r>
                                <w:rPr>
                                  <w:rStyle w:val="Strong"/>
                                  <w:rFonts w:ascii="Arial" w:eastAsiaTheme="majorEastAsia" w:hAnsi="Arial" w:cs="Arial"/>
                                  <w:color w:val="000000"/>
                                </w:rPr>
                                <w:t>Schedule 6 – Amendments to the </w:t>
                              </w:r>
                              <w:r>
                                <w:rPr>
                                  <w:rStyle w:val="Emphasis"/>
                                  <w:rFonts w:ascii="Arial" w:hAnsi="Arial" w:cs="Arial"/>
                                  <w:b/>
                                  <w:bCs/>
                                  <w:color w:val="000000"/>
                                </w:rPr>
                                <w:t>Environmental Assessment Act</w:t>
                              </w:r>
                            </w:p>
                            <w:p w:rsidR="001C4F14" w:rsidRDefault="001C4F14">
                              <w:pPr>
                                <w:pStyle w:val="NormalWeb"/>
                              </w:pPr>
                              <w:r>
                                <w:rPr>
                                  <w:rFonts w:ascii="Arial" w:hAnsi="Arial" w:cs="Arial"/>
                                  <w:color w:val="000000"/>
                                </w:rPr>
                                <w:t xml:space="preserve">The province is proposing to increase the exemptions for low risk activities within the municipal class EA. These could include speed bumps, de-icing, and </w:t>
                              </w:r>
                              <w:proofErr w:type="spellStart"/>
                              <w:r>
                                <w:rPr>
                                  <w:rFonts w:ascii="Arial" w:hAnsi="Arial" w:cs="Arial"/>
                                  <w:color w:val="000000"/>
                                </w:rPr>
                                <w:t>streetscaping</w:t>
                              </w:r>
                              <w:proofErr w:type="spellEnd"/>
                              <w:r>
                                <w:rPr>
                                  <w:rFonts w:ascii="Arial" w:hAnsi="Arial" w:cs="Arial"/>
                                  <w:color w:val="000000"/>
                                </w:rPr>
                                <w:t>. As well, the province has exempted itself from a number of EA requirements related to transit, mines, parks and real estate. A consultation paper has been released and AMO will be providing comment.  </w:t>
                              </w:r>
                            </w:p>
                            <w:p w:rsidR="001C4F14" w:rsidRDefault="001C4F14">
                              <w:pPr>
                                <w:pStyle w:val="NormalWeb"/>
                              </w:pPr>
                              <w:r>
                                <w:rPr>
                                  <w:rFonts w:ascii="Arial" w:hAnsi="Arial" w:cs="Arial"/>
                                  <w:color w:val="000000"/>
                                </w:rPr>
                                <w:t>While greater information around Duty to Consult, the sale of provincial brownfields and the bump up process is being sought by AMO, these proposed changes reflect long term requests from the municipal sector.</w:t>
                              </w:r>
                            </w:p>
                            <w:p w:rsidR="001C4F14" w:rsidRDefault="001C4F14">
                              <w:pPr>
                                <w:pStyle w:val="NormalWeb"/>
                              </w:pPr>
                              <w:r>
                                <w:rPr>
                                  <w:rStyle w:val="Strong"/>
                                  <w:rFonts w:ascii="Arial" w:eastAsiaTheme="majorEastAsia" w:hAnsi="Arial" w:cs="Arial"/>
                                  <w:color w:val="000000"/>
                                </w:rPr>
                                <w:t>Schedule 5 – Amendments to the</w:t>
                              </w:r>
                              <w:r>
                                <w:rPr>
                                  <w:rStyle w:val="Emphasis"/>
                                  <w:rFonts w:ascii="Arial" w:hAnsi="Arial" w:cs="Arial"/>
                                  <w:b/>
                                  <w:bCs/>
                                  <w:color w:val="000000"/>
                                </w:rPr>
                                <w:t> Endangered Species Act</w:t>
                              </w:r>
                            </w:p>
                            <w:p w:rsidR="001C4F14" w:rsidRDefault="001C4F14">
                              <w:pPr>
                                <w:pStyle w:val="NormalWeb"/>
                              </w:pPr>
                              <w:r>
                                <w:rPr>
                                  <w:rFonts w:ascii="Arial" w:hAnsi="Arial" w:cs="Arial"/>
                                  <w:color w:val="000000"/>
                                </w:rPr>
                                <w:t>The suite of changes contained in this schedule is intended to streamline </w:t>
                              </w:r>
                              <w:proofErr w:type="spellStart"/>
                              <w:r>
                                <w:rPr>
                                  <w:rStyle w:val="il"/>
                                  <w:rFonts w:ascii="Arial" w:hAnsi="Arial" w:cs="Arial"/>
                                  <w:color w:val="000000"/>
                                </w:rPr>
                                <w:t>development</w:t>
                              </w:r>
                              <w:r>
                                <w:rPr>
                                  <w:rFonts w:ascii="Arial" w:hAnsi="Arial" w:cs="Arial"/>
                                  <w:color w:val="000000"/>
                                </w:rPr>
                                <w:t>while</w:t>
                              </w:r>
                              <w:proofErr w:type="spellEnd"/>
                              <w:r>
                                <w:rPr>
                                  <w:rFonts w:ascii="Arial" w:hAnsi="Arial" w:cs="Arial"/>
                                  <w:color w:val="000000"/>
                                </w:rPr>
                                <w:t xml:space="preserve"> protecting endangered species. The proposals remain science-based and seek to balance both species-at-risk protections and human endeavours in a new way.</w:t>
                              </w:r>
                            </w:p>
                            <w:p w:rsidR="001C4F14" w:rsidRDefault="001C4F14">
                              <w:pPr>
                                <w:pStyle w:val="NormalWeb"/>
                              </w:pPr>
                              <w:r>
                                <w:rPr>
                                  <w:rFonts w:ascii="Arial" w:hAnsi="Arial" w:cs="Arial"/>
                                  <w:color w:val="000000"/>
                                </w:rPr>
                                <w:t xml:space="preserve">The proposed changes would require that species at risk be considered in the broader geographic context (both inside and outside Ontario) when determining species’ status. The role of the Committee on the Status of Species at Risk in Ontario (COSSARO) will remain the same. However, to increase predictability, their reports will now be due each year in January. Bill 108 also creates more realistic timelines, enables the phasing in of protection implementation and gives the Minister discretion </w:t>
                              </w:r>
                              <w:r>
                                <w:rPr>
                                  <w:rFonts w:ascii="Arial" w:hAnsi="Arial" w:cs="Arial"/>
                                  <w:color w:val="000000"/>
                                </w:rPr>
                                <w:lastRenderedPageBreak/>
                                <w:t>to consider social and economic realities when determining a government response to species at risk.</w:t>
                              </w:r>
                            </w:p>
                            <w:p w:rsidR="001C4F14" w:rsidRDefault="001C4F14">
                              <w:pPr>
                                <w:pStyle w:val="NormalWeb"/>
                              </w:pPr>
                              <w:r>
                                <w:rPr>
                                  <w:rFonts w:ascii="Arial" w:hAnsi="Arial" w:cs="Arial"/>
                                  <w:color w:val="000000"/>
                                </w:rPr>
                                <w:t>A key change is that the Minister will be able to enter into ‘landscape agreements.’ A landscape agreement authorizes activities that would otherwise be prohibited with respect to one or more listed species. Agreements will include requirements to execute specified beneficial actions that will assist in the protection or recovery of species.</w:t>
                              </w:r>
                            </w:p>
                            <w:p w:rsidR="001C4F14" w:rsidRDefault="001C4F14">
                              <w:pPr>
                                <w:pStyle w:val="NormalWeb"/>
                              </w:pPr>
                              <w:r>
                                <w:rPr>
                                  <w:rFonts w:ascii="Arial" w:hAnsi="Arial" w:cs="Arial"/>
                                  <w:color w:val="000000"/>
                                </w:rPr>
                                <w:t>Bill 108 also establishes a Species at Risk Conservation Fund and an agency to manage and administer the Fund. The purpose of the Fund is to provide funding for activities that are reasonably likely to protect or recover species at risk. Where a municipal work or a </w:t>
                              </w:r>
                              <w:r>
                                <w:rPr>
                                  <w:rStyle w:val="il"/>
                                  <w:rFonts w:ascii="Arial" w:hAnsi="Arial" w:cs="Arial"/>
                                  <w:color w:val="000000"/>
                                </w:rPr>
                                <w:t>development</w:t>
                              </w:r>
                              <w:r>
                                <w:rPr>
                                  <w:rFonts w:ascii="Arial" w:hAnsi="Arial" w:cs="Arial"/>
                                  <w:color w:val="000000"/>
                                </w:rPr>
                                <w:t> damages a habitat, a </w:t>
                              </w:r>
                              <w:r>
                                <w:rPr>
                                  <w:rStyle w:val="il"/>
                                  <w:rFonts w:ascii="Arial" w:hAnsi="Arial" w:cs="Arial"/>
                                  <w:color w:val="000000"/>
                                </w:rPr>
                                <w:t>charge</w:t>
                              </w:r>
                              <w:r>
                                <w:rPr>
                                  <w:rFonts w:ascii="Arial" w:hAnsi="Arial" w:cs="Arial"/>
                                  <w:color w:val="000000"/>
                                </w:rPr>
                                <w:t> in lieu of meeting certain imposed conditions would be possible with a permit. The municipality or developer would still have to minimize impacts and seek alternatives. This creates an alternative path for </w:t>
                              </w:r>
                              <w:r>
                                <w:rPr>
                                  <w:rStyle w:val="il"/>
                                  <w:rFonts w:ascii="Arial" w:hAnsi="Arial" w:cs="Arial"/>
                                  <w:color w:val="000000"/>
                                </w:rPr>
                                <w:t>development</w:t>
                              </w:r>
                              <w:r>
                                <w:rPr>
                                  <w:rFonts w:ascii="Arial" w:hAnsi="Arial" w:cs="Arial"/>
                                  <w:color w:val="000000"/>
                                </w:rPr>
                                <w:t> where protection of onsite habitat is problematic.</w:t>
                              </w:r>
                            </w:p>
                            <w:p w:rsidR="001C4F14" w:rsidRDefault="001C4F14">
                              <w:pPr>
                                <w:pStyle w:val="NormalWeb"/>
                              </w:pPr>
                              <w:r>
                                <w:rPr>
                                  <w:rFonts w:ascii="Arial" w:hAnsi="Arial" w:cs="Arial"/>
                                  <w:color w:val="000000"/>
                                </w:rPr>
                                <w:t>AMO continues to work with the Ministry as they formulate policy, draft regulations and programming to implement these proposed changes.</w:t>
                              </w:r>
                            </w:p>
                            <w:p w:rsidR="001C4F14" w:rsidRDefault="001C4F14">
                              <w:pPr>
                                <w:pStyle w:val="NormalWeb"/>
                              </w:pPr>
                              <w:r>
                                <w:rPr>
                                  <w:rStyle w:val="Strong"/>
                                  <w:rFonts w:ascii="Arial" w:eastAsiaTheme="majorEastAsia" w:hAnsi="Arial" w:cs="Arial"/>
                                  <w:color w:val="000000"/>
                                </w:rPr>
                                <w:t>Schedule 11 – Amendments to the</w:t>
                              </w:r>
                              <w:r>
                                <w:rPr>
                                  <w:rStyle w:val="Emphasis"/>
                                  <w:rFonts w:ascii="Arial" w:hAnsi="Arial" w:cs="Arial"/>
                                  <w:b/>
                                  <w:bCs/>
                                  <w:color w:val="000000"/>
                                </w:rPr>
                                <w:t> Ontario Heritage Act</w:t>
                              </w:r>
                            </w:p>
                            <w:p w:rsidR="001C4F14" w:rsidRDefault="001C4F14">
                              <w:pPr>
                                <w:pStyle w:val="NormalWeb"/>
                              </w:pPr>
                              <w:r>
                                <w:rPr>
                                  <w:rFonts w:ascii="Arial" w:hAnsi="Arial" w:cs="Arial"/>
                                  <w:color w:val="000000"/>
                                </w:rPr>
                                <w:t>The Bill proposes changes that would improve heritage register maintenance and transparency. The legislative amendments would require a municipal council to notify the property owner if the property is not formally designated but has been included in the register due to cultural heritage value or interest.</w:t>
                              </w:r>
                            </w:p>
                            <w:p w:rsidR="001C4F14" w:rsidRDefault="001C4F14">
                              <w:pPr>
                                <w:pStyle w:val="NormalWeb"/>
                              </w:pPr>
                              <w:r>
                                <w:rPr>
                                  <w:rFonts w:ascii="Arial" w:hAnsi="Arial" w:cs="Arial"/>
                                  <w:color w:val="000000"/>
                                </w:rPr>
                                <w:t>The proposed legislation also includes new timelines for a number of notices and decisions that are currently open-ended under the existing regime. The amendments also provide additional clarity to the meaning of ‘alteration’ and ‘demolition.’ All of these changes should add more certainty to the process and make it more transparent and efficient.</w:t>
                              </w:r>
                            </w:p>
                            <w:p w:rsidR="001C4F14" w:rsidRDefault="001C4F14">
                              <w:pPr>
                                <w:pStyle w:val="NormalWeb"/>
                              </w:pPr>
                              <w:r>
                                <w:rPr>
                                  <w:rStyle w:val="Strong"/>
                                  <w:rFonts w:ascii="Arial" w:eastAsiaTheme="majorEastAsia" w:hAnsi="Arial" w:cs="Arial"/>
                                  <w:color w:val="000000"/>
                                </w:rPr>
                                <w:t>Schedule 1- Amendments to the</w:t>
                              </w:r>
                              <w:r>
                                <w:rPr>
                                  <w:rStyle w:val="Emphasis"/>
                                  <w:rFonts w:ascii="Arial" w:hAnsi="Arial" w:cs="Arial"/>
                                  <w:b/>
                                  <w:bCs/>
                                  <w:color w:val="000000"/>
                                </w:rPr>
                                <w:t> Cannabis Control Act</w:t>
                              </w:r>
                            </w:p>
                            <w:p w:rsidR="001C4F14" w:rsidRDefault="001C4F14">
                              <w:pPr>
                                <w:pStyle w:val="NormalWeb"/>
                              </w:pPr>
                              <w:r>
                                <w:rPr>
                                  <w:rFonts w:ascii="Arial" w:hAnsi="Arial" w:cs="Arial"/>
                                  <w:color w:val="000000"/>
                                </w:rPr>
                                <w:t>Schedule 1 clarifies provisions for interim closure orders for illegal dispensaries and creates exemptions allowing police and other emergency responders to enter the premises for ‘exigent circumstances.’ The schedule also repeals a provision that exempted residences from interim closure orders. This is to deal with the tactic of putting a residency within an illegal dispensary.</w:t>
                              </w:r>
                            </w:p>
                            <w:p w:rsidR="001C4F14" w:rsidRDefault="001C4F14">
                              <w:pPr>
                                <w:pStyle w:val="NormalWeb"/>
                              </w:pPr>
                              <w:r>
                                <w:rPr>
                                  <w:rStyle w:val="Strong"/>
                                  <w:rFonts w:ascii="Arial" w:eastAsiaTheme="majorEastAsia" w:hAnsi="Arial" w:cs="Arial"/>
                                  <w:color w:val="000000"/>
                                </w:rPr>
                                <w:t>Bill 107, </w:t>
                              </w:r>
                              <w:r>
                                <w:rPr>
                                  <w:rStyle w:val="Emphasis"/>
                                  <w:rFonts w:ascii="Arial" w:hAnsi="Arial" w:cs="Arial"/>
                                  <w:b/>
                                  <w:bCs/>
                                  <w:color w:val="000000"/>
                                </w:rPr>
                                <w:t>The Getting Ontario Moving Act</w:t>
                              </w:r>
                              <w:r>
                                <w:rPr>
                                  <w:rStyle w:val="Strong"/>
                                  <w:rFonts w:ascii="Arial" w:eastAsiaTheme="majorEastAsia" w:hAnsi="Arial" w:cs="Arial"/>
                                  <w:color w:val="000000"/>
                                </w:rPr>
                                <w:t>, 2019</w:t>
                              </w:r>
                            </w:p>
                            <w:p w:rsidR="001C4F14" w:rsidRDefault="001C4F14">
                              <w:pPr>
                                <w:pStyle w:val="NormalWeb"/>
                              </w:pPr>
                              <w:r>
                                <w:rPr>
                                  <w:rFonts w:ascii="Arial" w:hAnsi="Arial" w:cs="Arial"/>
                                  <w:color w:val="000000"/>
                                </w:rPr>
                                <w:lastRenderedPageBreak/>
                                <w:t>Bill 107 focuses on making roads safer for Ontario residents. The draft legislation also creates authorities for the provincial government to upload subway infrastructure.</w:t>
                              </w:r>
                            </w:p>
                            <w:p w:rsidR="001C4F14" w:rsidRDefault="001C4F14">
                              <w:pPr>
                                <w:pStyle w:val="NormalWeb"/>
                              </w:pPr>
                              <w:r>
                                <w:rPr>
                                  <w:rStyle w:val="Strong"/>
                                  <w:rFonts w:ascii="Arial" w:eastAsiaTheme="majorEastAsia" w:hAnsi="Arial" w:cs="Arial"/>
                                  <w:color w:val="000000"/>
                                </w:rPr>
                                <w:t>Schedule 1 – Amendments to the </w:t>
                              </w:r>
                              <w:r>
                                <w:rPr>
                                  <w:rStyle w:val="Emphasis"/>
                                  <w:rFonts w:ascii="Arial" w:hAnsi="Arial" w:cs="Arial"/>
                                  <w:b/>
                                  <w:bCs/>
                                  <w:color w:val="000000"/>
                                </w:rPr>
                                <w:t>Highway Traffic Act</w:t>
                              </w:r>
                              <w:r>
                                <w:rPr>
                                  <w:rStyle w:val="Strong"/>
                                  <w:rFonts w:ascii="Arial" w:eastAsiaTheme="majorEastAsia" w:hAnsi="Arial" w:cs="Arial"/>
                                  <w:color w:val="000000"/>
                                </w:rPr>
                                <w:t> (HTA)</w:t>
                              </w:r>
                            </w:p>
                            <w:p w:rsidR="001C4F14" w:rsidRDefault="001C4F14">
                              <w:pPr>
                                <w:pStyle w:val="NormalWeb"/>
                              </w:pPr>
                              <w:r>
                                <w:rPr>
                                  <w:rFonts w:ascii="Arial" w:hAnsi="Arial" w:cs="Arial"/>
                                  <w:color w:val="000000"/>
                                </w:rPr>
                                <w:t>Bill 107 would amend the </w:t>
                              </w:r>
                              <w:r>
                                <w:rPr>
                                  <w:rStyle w:val="Emphasis"/>
                                  <w:rFonts w:ascii="Arial" w:hAnsi="Arial" w:cs="Arial"/>
                                  <w:color w:val="000000"/>
                                </w:rPr>
                                <w:t>HTA</w:t>
                              </w:r>
                              <w:r>
                                <w:rPr>
                                  <w:rFonts w:ascii="Arial" w:hAnsi="Arial" w:cs="Arial"/>
                                  <w:color w:val="000000"/>
                                </w:rPr>
                                <w:t> to align sections related to driving under the influence to correspond with updates to the </w:t>
                              </w:r>
                              <w:r>
                                <w:rPr>
                                  <w:rStyle w:val="Emphasis"/>
                                  <w:rFonts w:ascii="Arial" w:hAnsi="Arial" w:cs="Arial"/>
                                  <w:color w:val="000000"/>
                                </w:rPr>
                                <w:t>Criminal Code of Canada</w:t>
                              </w:r>
                              <w:r>
                                <w:rPr>
                                  <w:rFonts w:ascii="Arial" w:hAnsi="Arial" w:cs="Arial"/>
                                  <w:color w:val="000000"/>
                                </w:rPr>
                                <w:t>. This is necessary to ensure </w:t>
                              </w:r>
                              <w:r>
                                <w:rPr>
                                  <w:rStyle w:val="il"/>
                                  <w:rFonts w:ascii="Arial" w:hAnsi="Arial" w:cs="Arial"/>
                                  <w:color w:val="000000"/>
                                </w:rPr>
                                <w:t>charges</w:t>
                              </w:r>
                              <w:r>
                                <w:rPr>
                                  <w:rFonts w:ascii="Arial" w:hAnsi="Arial" w:cs="Arial"/>
                                  <w:color w:val="000000"/>
                                </w:rPr>
                                <w:t> are consistent and defensible in court.</w:t>
                              </w:r>
                            </w:p>
                            <w:p w:rsidR="001C4F14" w:rsidRDefault="001C4F14">
                              <w:pPr>
                                <w:pStyle w:val="NormalWeb"/>
                              </w:pPr>
                              <w:r>
                                <w:rPr>
                                  <w:rFonts w:ascii="Arial" w:hAnsi="Arial" w:cs="Arial"/>
                                  <w:color w:val="000000"/>
                                </w:rPr>
                                <w:t>Another proposed change of key interest to municipal governments is the creation of an Administrative Monetary Penalty (AMP) regime for municipal governments to </w:t>
                              </w:r>
                              <w:r>
                                <w:rPr>
                                  <w:rStyle w:val="il"/>
                                  <w:rFonts w:ascii="Arial" w:hAnsi="Arial" w:cs="Arial"/>
                                  <w:color w:val="000000"/>
                                </w:rPr>
                                <w:t>charge</w:t>
                              </w:r>
                              <w:r>
                                <w:rPr>
                                  <w:rFonts w:ascii="Arial" w:hAnsi="Arial" w:cs="Arial"/>
                                  <w:color w:val="000000"/>
                                </w:rPr>
                                <w:t> drivers that pass an extended school bus stop arm outfitted with a camera. The province will be putting forward regulations to allow the evidence from these cameras to be used in court. Municipal governments are keen to introduce school bus stop arm enforcement cameras to help keep children safe. Along with the anticipated deployment of Automated Speed Enforcement (ASE) technology in School and Community Safety Zones, these measures should provide the ability for local governments to more efficiently enforce road safety in communities.</w:t>
                              </w:r>
                            </w:p>
                            <w:p w:rsidR="001C4F14" w:rsidRDefault="001C4F14">
                              <w:pPr>
                                <w:pStyle w:val="NormalWeb"/>
                              </w:pPr>
                              <w:r>
                                <w:rPr>
                                  <w:rFonts w:ascii="Arial" w:hAnsi="Arial" w:cs="Arial"/>
                                  <w:color w:val="000000"/>
                                </w:rPr>
                                <w:t>A concern for municipal governments relates to fine collection. Section 21.1 (13) of the Bill provides that an AMP that is not paid in accordance with the terms of the order is a debt to the Crown. AMO recommends that the legislation be amended to consider it a debt to the Crown</w:t>
                              </w:r>
                              <w:r>
                                <w:rPr>
                                  <w:rStyle w:val="Emphasis"/>
                                  <w:rFonts w:ascii="Arial" w:hAnsi="Arial" w:cs="Arial"/>
                                  <w:color w:val="000000"/>
                                </w:rPr>
                                <w:t> or</w:t>
                              </w:r>
                              <w:r>
                                <w:rPr>
                                  <w:rFonts w:ascii="Arial" w:hAnsi="Arial" w:cs="Arial"/>
                                  <w:color w:val="000000"/>
                                </w:rPr>
                                <w:t> a municipal government, depending on its nature, as provided through a new regulation.</w:t>
                              </w:r>
                            </w:p>
                            <w:p w:rsidR="001C4F14" w:rsidRDefault="001C4F14">
                              <w:pPr>
                                <w:pStyle w:val="NormalWeb"/>
                              </w:pPr>
                              <w:r>
                                <w:rPr>
                                  <w:rFonts w:ascii="Arial" w:hAnsi="Arial" w:cs="Arial"/>
                                  <w:color w:val="000000"/>
                                </w:rPr>
                                <w:t>Bill 107, if passed, would also amend the rules to automatically allow off-road vehicles on municipal roads in all areas of the province. This amendment reverses the onus as these vehicles are currently prohibited unless a municipal government passes a by-law to allow them.</w:t>
                              </w:r>
                            </w:p>
                            <w:p w:rsidR="001C4F14" w:rsidRDefault="001C4F14">
                              <w:pPr>
                                <w:pStyle w:val="NormalWeb"/>
                              </w:pPr>
                              <w:r>
                                <w:rPr>
                                  <w:rFonts w:ascii="Arial" w:hAnsi="Arial" w:cs="Arial"/>
                                  <w:color w:val="000000"/>
                                </w:rPr>
                                <w:t>Another change is the anticipated alignment of Ontario’s rules for commercial vehicles with other jurisdictions. This includes allowing the use of wide-based single tires for trucks and aligning the rules with other jurisdictions for charter bus operations in the province.</w:t>
                              </w:r>
                            </w:p>
                            <w:p w:rsidR="001C4F14" w:rsidRDefault="001C4F14">
                              <w:pPr>
                                <w:pStyle w:val="NormalWeb"/>
                              </w:pPr>
                              <w:r>
                                <w:rPr>
                                  <w:rFonts w:ascii="Arial" w:hAnsi="Arial" w:cs="Arial"/>
                                  <w:color w:val="000000"/>
                                </w:rPr>
                                <w:t>Penalty increases are also proposed for drivers that endanger workers such as construction personnel or tow truck drivers on highways and for drivers that drive too slowly in the left-hand lane. Bill 107, if passed, will also introduce new penalties for impaired driving instructors, for removing or defacing traffic signs and prohibiting vehicles from entering bicycle lanes and bus terminals.</w:t>
                              </w:r>
                            </w:p>
                            <w:p w:rsidR="001C4F14" w:rsidRDefault="001C4F14">
                              <w:pPr>
                                <w:pStyle w:val="NormalWeb"/>
                              </w:pPr>
                              <w:r>
                                <w:rPr>
                                  <w:rFonts w:ascii="Arial" w:hAnsi="Arial" w:cs="Arial"/>
                                  <w:color w:val="000000"/>
                                </w:rPr>
                                <w:t>The province will also review the rules of the road for bicycles, e-scooters and e-bikes as well as consult on raising highway speed limits.</w:t>
                              </w:r>
                            </w:p>
                            <w:p w:rsidR="001C4F14" w:rsidRDefault="001C4F14">
                              <w:pPr>
                                <w:pStyle w:val="NormalWeb"/>
                              </w:pPr>
                              <w:r>
                                <w:rPr>
                                  <w:rStyle w:val="Strong"/>
                                  <w:rFonts w:ascii="Arial" w:eastAsiaTheme="majorEastAsia" w:hAnsi="Arial" w:cs="Arial"/>
                                  <w:color w:val="000000"/>
                                </w:rPr>
                                <w:lastRenderedPageBreak/>
                                <w:t>Schedule 3 – Amendments to the </w:t>
                              </w:r>
                              <w:proofErr w:type="spellStart"/>
                              <w:r>
                                <w:rPr>
                                  <w:rStyle w:val="Emphasis"/>
                                  <w:rFonts w:ascii="Arial" w:hAnsi="Arial" w:cs="Arial"/>
                                  <w:b/>
                                  <w:bCs/>
                                  <w:color w:val="000000"/>
                                </w:rPr>
                                <w:t>Metrolinx</w:t>
                              </w:r>
                              <w:proofErr w:type="spellEnd"/>
                              <w:r>
                                <w:rPr>
                                  <w:rStyle w:val="Emphasis"/>
                                  <w:rFonts w:ascii="Arial" w:hAnsi="Arial" w:cs="Arial"/>
                                  <w:b/>
                                  <w:bCs/>
                                  <w:color w:val="000000"/>
                                </w:rPr>
                                <w:t xml:space="preserve"> Act</w:t>
                              </w:r>
                            </w:p>
                            <w:p w:rsidR="001C4F14" w:rsidRDefault="001C4F14">
                              <w:pPr>
                                <w:pStyle w:val="NormalWeb"/>
                              </w:pPr>
                              <w:r>
                                <w:rPr>
                                  <w:rFonts w:ascii="Arial" w:hAnsi="Arial" w:cs="Arial"/>
                                  <w:color w:val="000000"/>
                                </w:rPr>
                                <w:t>The legislation creates the mechanism for the Ontario government to prescribe rapid transit project design, </w:t>
                              </w:r>
                              <w:r>
                                <w:rPr>
                                  <w:rStyle w:val="il"/>
                                  <w:rFonts w:ascii="Arial" w:hAnsi="Arial" w:cs="Arial"/>
                                  <w:color w:val="000000"/>
                                </w:rPr>
                                <w:t>development</w:t>
                              </w:r>
                              <w:r>
                                <w:rPr>
                                  <w:rFonts w:ascii="Arial" w:hAnsi="Arial" w:cs="Arial"/>
                                  <w:color w:val="000000"/>
                                </w:rPr>
                                <w:t xml:space="preserve"> or construction as the sole responsibility of </w:t>
                              </w:r>
                              <w:proofErr w:type="spellStart"/>
                              <w:r>
                                <w:rPr>
                                  <w:rFonts w:ascii="Arial" w:hAnsi="Arial" w:cs="Arial"/>
                                  <w:color w:val="000000"/>
                                </w:rPr>
                                <w:t>Metrolinx</w:t>
                              </w:r>
                              <w:proofErr w:type="spellEnd"/>
                              <w:r>
                                <w:rPr>
                                  <w:rFonts w:ascii="Arial" w:hAnsi="Arial" w:cs="Arial"/>
                                  <w:color w:val="000000"/>
                                </w:rPr>
                                <w:t xml:space="preserve"> through regulation and to prohibit further action on that project by the City of Toronto. The proposed amendments would allow the Minister to issue directives to the City of Toronto and its agencies.</w:t>
                              </w:r>
                            </w:p>
                            <w:p w:rsidR="001C4F14" w:rsidRDefault="001C4F14">
                              <w:pPr>
                                <w:pStyle w:val="NormalWeb"/>
                              </w:pPr>
                              <w:r>
                                <w:rPr>
                                  <w:rFonts w:ascii="Arial" w:hAnsi="Arial" w:cs="Arial"/>
                                  <w:color w:val="000000"/>
                                </w:rPr>
                                <w:t>The changes in this legislation are limited to the City of Toronto and its agencies as defined under the </w:t>
                              </w:r>
                              <w:r>
                                <w:rPr>
                                  <w:rStyle w:val="Emphasis"/>
                                  <w:rFonts w:ascii="Arial" w:hAnsi="Arial" w:cs="Arial"/>
                                  <w:color w:val="000000"/>
                                </w:rPr>
                                <w:t>City of Toronto Act</w:t>
                              </w:r>
                              <w:r>
                                <w:rPr>
                                  <w:rFonts w:ascii="Arial" w:hAnsi="Arial" w:cs="Arial"/>
                                  <w:color w:val="000000"/>
                                </w:rPr>
                                <w:t xml:space="preserve">, specifically the Toronto Transit Commission (TTC). </w:t>
                              </w:r>
                              <w:proofErr w:type="gramStart"/>
                              <w:r>
                                <w:rPr>
                                  <w:rFonts w:ascii="Arial" w:hAnsi="Arial" w:cs="Arial"/>
                                  <w:color w:val="000000"/>
                                </w:rPr>
                                <w:t>However</w:t>
                              </w:r>
                              <w:proofErr w:type="gramEnd"/>
                              <w:r>
                                <w:rPr>
                                  <w:rFonts w:ascii="Arial" w:hAnsi="Arial" w:cs="Arial"/>
                                  <w:color w:val="000000"/>
                                </w:rPr>
                                <w:t xml:space="preserve"> section 47 (1) of the legislation allows the province to assume assets “with or without” compensation or recourse to the City. The Act further stipulates that this transfer would not constitute a breach of by-laws, rights or contracts nor is it an expropriation. Section 51 (3) limits proceedings for remedies or restitution.</w:t>
                              </w:r>
                            </w:p>
                            <w:p w:rsidR="001C4F14" w:rsidRDefault="001C4F14">
                              <w:pPr>
                                <w:pStyle w:val="NormalWeb"/>
                              </w:pPr>
                              <w:r>
                                <w:rPr>
                                  <w:rFonts w:ascii="Arial" w:hAnsi="Arial" w:cs="Arial"/>
                                  <w:color w:val="000000"/>
                                </w:rPr>
                                <w:t>AMO notes that these proposed provisions could set precedents for changes beyond the TTC subway where the provincial government assumes municipal assets without fair compensation. AMO will review this further given its potential application in other municipal-provincial contexts.</w:t>
                              </w:r>
                            </w:p>
                            <w:p w:rsidR="001C4F14" w:rsidRDefault="001C4F14">
                              <w:pPr>
                                <w:pStyle w:val="NormalWeb"/>
                              </w:pPr>
                              <w:r>
                                <w:rPr>
                                  <w:rStyle w:val="Strong"/>
                                  <w:rFonts w:ascii="Arial" w:eastAsiaTheme="majorEastAsia" w:hAnsi="Arial" w:cs="Arial"/>
                                  <w:color w:val="000000"/>
                                </w:rPr>
                                <w:t>Schedule 5 – Amendments to the </w:t>
                              </w:r>
                              <w:r>
                                <w:rPr>
                                  <w:rStyle w:val="Emphasis"/>
                                  <w:rFonts w:ascii="Arial" w:hAnsi="Arial" w:cs="Arial"/>
                                  <w:b/>
                                  <w:bCs/>
                                  <w:color w:val="000000"/>
                                </w:rPr>
                                <w:t>Public Transportation and Highways Improvement Act</w:t>
                              </w:r>
                              <w:r>
                                <w:rPr>
                                  <w:rStyle w:val="Strong"/>
                                  <w:rFonts w:ascii="Arial" w:eastAsiaTheme="majorEastAsia" w:hAnsi="Arial" w:cs="Arial"/>
                                  <w:color w:val="000000"/>
                                </w:rPr>
                                <w:t> (PTHIA)</w:t>
                              </w:r>
                            </w:p>
                            <w:p w:rsidR="001C4F14" w:rsidRDefault="001C4F14">
                              <w:pPr>
                                <w:pStyle w:val="NormalWeb"/>
                              </w:pPr>
                              <w:r>
                                <w:rPr>
                                  <w:rFonts w:ascii="Arial" w:hAnsi="Arial" w:cs="Arial"/>
                                  <w:color w:val="000000"/>
                                </w:rPr>
                                <w:t>Bill 107 proposes to update the PTHIA to recognize activities such as grading of land and broadens the definition of infrastructure to include “structures” in addition to bridge and underpass construction in the Ministry permit zone.</w:t>
                              </w:r>
                            </w:p>
                            <w:p w:rsidR="001C4F14" w:rsidRDefault="001C4F14">
                              <w:pPr>
                                <w:pStyle w:val="NormalWeb"/>
                              </w:pPr>
                              <w:r>
                                <w:rPr>
                                  <w:rStyle w:val="Strong"/>
                                  <w:rFonts w:ascii="Arial" w:eastAsiaTheme="majorEastAsia" w:hAnsi="Arial" w:cs="Arial"/>
                                  <w:color w:val="000000"/>
                                </w:rPr>
                                <w:t>Schedule 6 – Amendments to the </w:t>
                              </w:r>
                              <w:proofErr w:type="spellStart"/>
                              <w:r>
                                <w:rPr>
                                  <w:rStyle w:val="Emphasis"/>
                                  <w:rFonts w:ascii="Arial" w:hAnsi="Arial" w:cs="Arial"/>
                                  <w:b/>
                                  <w:bCs/>
                                  <w:color w:val="000000"/>
                                </w:rPr>
                                <w:t>Shortline</w:t>
                              </w:r>
                              <w:proofErr w:type="spellEnd"/>
                              <w:r>
                                <w:rPr>
                                  <w:rStyle w:val="Emphasis"/>
                                  <w:rFonts w:ascii="Arial" w:hAnsi="Arial" w:cs="Arial"/>
                                  <w:b/>
                                  <w:bCs/>
                                  <w:color w:val="000000"/>
                                </w:rPr>
                                <w:t xml:space="preserve"> Railways Act</w:t>
                              </w:r>
                            </w:p>
                            <w:p w:rsidR="001C4F14" w:rsidRDefault="001C4F14">
                              <w:pPr>
                                <w:pStyle w:val="NormalWeb"/>
                              </w:pPr>
                              <w:r>
                                <w:rPr>
                                  <w:rFonts w:ascii="Arial" w:hAnsi="Arial" w:cs="Arial"/>
                                  <w:color w:val="000000"/>
                                </w:rPr>
                                <w:t xml:space="preserve">The Bill updates the Act to define a railway as a rail service to encompass its operations, to allow the registrar to more easily add, amend or revoke conditions on licenses and to provide processes for doing so, including by electronic means. Railways are required to provide operational information on a regular basis and to notify the registrar of changes to corporate officers or to the services provided. The Bill also proposes to abolish the current requirement for a </w:t>
                              </w:r>
                              <w:proofErr w:type="spellStart"/>
                              <w:r>
                                <w:rPr>
                                  <w:rFonts w:ascii="Arial" w:hAnsi="Arial" w:cs="Arial"/>
                                  <w:color w:val="000000"/>
                                </w:rPr>
                                <w:t>shortline</w:t>
                              </w:r>
                              <w:proofErr w:type="spellEnd"/>
                              <w:r>
                                <w:rPr>
                                  <w:rFonts w:ascii="Arial" w:hAnsi="Arial" w:cs="Arial"/>
                                  <w:color w:val="000000"/>
                                </w:rPr>
                                <w:t xml:space="preserve"> rail service that will discontinue operations to offer to sell to the Government of Ontario at salvage value.</w:t>
                              </w:r>
                            </w:p>
                            <w:p w:rsidR="001C4F14" w:rsidRDefault="001C4F14">
                              <w:pPr>
                                <w:pStyle w:val="NormalWeb"/>
                              </w:pPr>
                              <w:r>
                                <w:rPr>
                                  <w:rStyle w:val="Strong"/>
                                  <w:rFonts w:ascii="Arial" w:eastAsiaTheme="majorEastAsia" w:hAnsi="Arial" w:cs="Arial"/>
                                  <w:color w:val="000000"/>
                                </w:rPr>
                                <w:t>Contacts:</w:t>
                              </w:r>
                            </w:p>
                            <w:p w:rsidR="001C4F14" w:rsidRDefault="001C4F14">
                              <w:pPr>
                                <w:pStyle w:val="NormalWeb"/>
                              </w:pP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w:t>
                              </w:r>
                            </w:p>
                            <w:p w:rsidR="001C4F14" w:rsidRDefault="001C4F14">
                              <w:pPr>
                                <w:pStyle w:val="NormalWeb"/>
                              </w:pPr>
                              <w:r>
                                <w:rPr>
                                  <w:rFonts w:ascii="Arial" w:hAnsi="Arial" w:cs="Arial"/>
                                  <w:color w:val="000000"/>
                                </w:rPr>
                                <w:t>Matthew Wilson, Senior Advisor, </w:t>
                              </w:r>
                              <w:hyperlink r:id="rId16" w:tgtFrame="_blank" w:history="1">
                                <w:r>
                                  <w:rPr>
                                    <w:rStyle w:val="Hyperlink"/>
                                    <w:rFonts w:ascii="Arial" w:hAnsi="Arial" w:cs="Arial"/>
                                    <w:color w:val="0000CC"/>
                                  </w:rPr>
                                  <w:t>mwilson@amo.on.ca</w:t>
                                </w:r>
                              </w:hyperlink>
                              <w:r>
                                <w:rPr>
                                  <w:rFonts w:ascii="Arial" w:hAnsi="Arial" w:cs="Arial"/>
                                  <w:color w:val="000000"/>
                                </w:rPr>
                                <w:t>, 416-971-9856 ext. 323</w:t>
                              </w:r>
                            </w:p>
                            <w:p w:rsidR="001C4F14" w:rsidRDefault="001C4F14">
                              <w:pPr>
                                <w:pStyle w:val="NormalWeb"/>
                              </w:pPr>
                              <w:r>
                                <w:rPr>
                                  <w:rFonts w:ascii="Arial" w:hAnsi="Arial" w:cs="Arial"/>
                                  <w:color w:val="000000"/>
                                </w:rPr>
                                <w:t>Bill 108:</w:t>
                              </w:r>
                            </w:p>
                            <w:p w:rsidR="001C4F14" w:rsidRDefault="001C4F14">
                              <w:pPr>
                                <w:pStyle w:val="NormalWeb"/>
                              </w:pPr>
                              <w:r>
                                <w:rPr>
                                  <w:rFonts w:ascii="Arial" w:hAnsi="Arial" w:cs="Arial"/>
                                  <w:color w:val="000000"/>
                                </w:rPr>
                                <w:lastRenderedPageBreak/>
                                <w:t>Cathie Brown, Senior Advisor, </w:t>
                              </w:r>
                              <w:hyperlink r:id="rId17" w:tgtFrame="_blank" w:history="1">
                                <w:r>
                                  <w:rPr>
                                    <w:rStyle w:val="Hyperlink"/>
                                    <w:rFonts w:ascii="Arial" w:hAnsi="Arial" w:cs="Arial"/>
                                    <w:color w:val="0000CC"/>
                                  </w:rPr>
                                  <w:t>cathiebrown@amo.on.ca</w:t>
                                </w:r>
                              </w:hyperlink>
                              <w:r>
                                <w:rPr>
                                  <w:rFonts w:ascii="Arial" w:hAnsi="Arial" w:cs="Arial"/>
                                  <w:color w:val="000000"/>
                                </w:rPr>
                                <w:t>, 416-971-9856 ext. 342</w:t>
                              </w:r>
                            </w:p>
                            <w:p w:rsidR="001C4F14" w:rsidRDefault="001C4F14">
                              <w:pPr>
                                <w:pStyle w:val="NormalWeb"/>
                              </w:pPr>
                              <w:r>
                                <w:rPr>
                                  <w:rFonts w:ascii="Arial" w:hAnsi="Arial" w:cs="Arial"/>
                                  <w:color w:val="000000"/>
                                </w:rPr>
                                <w:t>Bill 107:</w:t>
                              </w:r>
                            </w:p>
                            <w:p w:rsidR="001C4F14" w:rsidRDefault="001C4F14">
                              <w:pPr>
                                <w:pStyle w:val="NormalWeb"/>
                              </w:pPr>
                              <w:r>
                                <w:rPr>
                                  <w:rFonts w:ascii="Arial" w:hAnsi="Arial" w:cs="Arial"/>
                                  <w:color w:val="000000"/>
                                </w:rPr>
                                <w:t>Craig Reid, Senior Advisor, </w:t>
                              </w:r>
                              <w:hyperlink r:id="rId18" w:tgtFrame="_blank" w:history="1">
                                <w:r>
                                  <w:rPr>
                                    <w:rStyle w:val="Hyperlink"/>
                                    <w:rFonts w:ascii="Arial" w:hAnsi="Arial" w:cs="Arial"/>
                                    <w:color w:val="0000CC"/>
                                  </w:rPr>
                                  <w:t>creid@amo.on.ca</w:t>
                                </w:r>
                              </w:hyperlink>
                              <w:r>
                                <w:rPr>
                                  <w:rFonts w:ascii="Arial" w:hAnsi="Arial" w:cs="Arial"/>
                                  <w:color w:val="000000"/>
                                </w:rPr>
                                <w:t>, 416-971-9856 ext. 334</w:t>
                              </w:r>
                            </w:p>
                            <w:p w:rsidR="001C4F14" w:rsidRDefault="001C4F14">
                              <w:pPr>
                                <w:pStyle w:val="NormalWeb"/>
                                <w:jc w:val="center"/>
                              </w:pPr>
                              <w:r>
                                <w:rPr>
                                  <w:rStyle w:val="Strong"/>
                                  <w:rFonts w:ascii="Tahoma" w:eastAsiaTheme="majorEastAsia" w:hAnsi="Tahoma" w:cs="Tahoma"/>
                                  <w:color w:val="000000"/>
                                </w:rPr>
                                <w:t>﻿</w:t>
                              </w:r>
                            </w:p>
                          </w:tc>
                        </w:tr>
                      </w:tbl>
                      <w:p w:rsidR="001C4F14" w:rsidRDefault="001C4F14">
                        <w:pPr>
                          <w:rPr>
                            <w:rFonts w:ascii="Helvetica" w:hAnsi="Helvetica"/>
                          </w:rPr>
                        </w:pPr>
                      </w:p>
                    </w:tc>
                  </w:tr>
                </w:tbl>
                <w:p w:rsidR="001C4F14" w:rsidRDefault="001C4F14">
                  <w:pPr>
                    <w:rPr>
                      <w:rFonts w:ascii="Helvetica" w:hAnsi="Helvetica"/>
                      <w:sz w:val="24"/>
                      <w:szCs w:val="24"/>
                    </w:rPr>
                  </w:pPr>
                </w:p>
              </w:tc>
            </w:tr>
          </w:tbl>
          <w:p w:rsidR="001C4F14" w:rsidRDefault="001C4F14">
            <w:pPr>
              <w:jc w:val="center"/>
              <w:rPr>
                <w:rFonts w:ascii="Helvetica" w:hAnsi="Helvetica" w:cs="Arial"/>
                <w:color w:val="222222"/>
                <w:sz w:val="24"/>
                <w:szCs w:val="24"/>
              </w:rPr>
            </w:pPr>
          </w:p>
        </w:tc>
      </w:tr>
    </w:tbl>
    <w:p w:rsidR="00EB636E" w:rsidRDefault="00EB636E" w:rsidP="00D638C8">
      <w:pPr>
        <w:spacing w:after="0" w:line="240" w:lineRule="auto"/>
      </w:pPr>
    </w:p>
    <w:sectPr w:rsidR="00EB636E"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EC0"/>
    <w:multiLevelType w:val="hybridMultilevel"/>
    <w:tmpl w:val="CB8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97CD7"/>
    <w:multiLevelType w:val="multilevel"/>
    <w:tmpl w:val="2B863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92490"/>
    <w:multiLevelType w:val="hybridMultilevel"/>
    <w:tmpl w:val="CE8456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F6C"/>
    <w:multiLevelType w:val="hybridMultilevel"/>
    <w:tmpl w:val="C0F86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3036D6"/>
    <w:multiLevelType w:val="hybridMultilevel"/>
    <w:tmpl w:val="E84C58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CB7341"/>
    <w:multiLevelType w:val="multilevel"/>
    <w:tmpl w:val="8AF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75290"/>
    <w:multiLevelType w:val="multilevel"/>
    <w:tmpl w:val="61347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F951DD"/>
    <w:multiLevelType w:val="hybridMultilevel"/>
    <w:tmpl w:val="9948C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44039F"/>
    <w:multiLevelType w:val="multilevel"/>
    <w:tmpl w:val="245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C59A2"/>
    <w:multiLevelType w:val="hybridMultilevel"/>
    <w:tmpl w:val="4620A5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EE6716"/>
    <w:multiLevelType w:val="hybridMultilevel"/>
    <w:tmpl w:val="24F2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3" w15:restartNumberingAfterBreak="0">
    <w:nsid w:val="3197340F"/>
    <w:multiLevelType w:val="hybridMultilevel"/>
    <w:tmpl w:val="DB920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847B0B"/>
    <w:multiLevelType w:val="hybridMultilevel"/>
    <w:tmpl w:val="6CE2A828"/>
    <w:lvl w:ilvl="0" w:tplc="6A7EDC44">
      <w:start w:val="1"/>
      <w:numFmt w:val="decimal"/>
      <w:lvlText w:val="%1."/>
      <w:lvlJc w:val="left"/>
      <w:pPr>
        <w:ind w:left="81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CD601F"/>
    <w:multiLevelType w:val="hybridMultilevel"/>
    <w:tmpl w:val="21CAA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021F27"/>
    <w:multiLevelType w:val="hybridMultilevel"/>
    <w:tmpl w:val="BDCE130C"/>
    <w:lvl w:ilvl="0" w:tplc="7F3830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92E7355"/>
    <w:multiLevelType w:val="multilevel"/>
    <w:tmpl w:val="A808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A6477A"/>
    <w:multiLevelType w:val="hybridMultilevel"/>
    <w:tmpl w:val="ABB81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0211DE"/>
    <w:multiLevelType w:val="hybridMultilevel"/>
    <w:tmpl w:val="E7F66DA8"/>
    <w:lvl w:ilvl="0" w:tplc="7F383030">
      <w:start w:val="1"/>
      <w:numFmt w:val="lowerLetter"/>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8639B4"/>
    <w:multiLevelType w:val="hybridMultilevel"/>
    <w:tmpl w:val="E826A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C717D9"/>
    <w:multiLevelType w:val="hybridMultilevel"/>
    <w:tmpl w:val="431E3E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CE907B7"/>
    <w:multiLevelType w:val="hybridMultilevel"/>
    <w:tmpl w:val="84925ED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7F643F"/>
    <w:multiLevelType w:val="hybridMultilevel"/>
    <w:tmpl w:val="2AE02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8535C"/>
    <w:multiLevelType w:val="hybridMultilevel"/>
    <w:tmpl w:val="59244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EB4921"/>
    <w:multiLevelType w:val="hybridMultilevel"/>
    <w:tmpl w:val="1D7EB558"/>
    <w:lvl w:ilvl="0" w:tplc="7F38303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15:restartNumberingAfterBreak="0">
    <w:nsid w:val="778E4BDA"/>
    <w:multiLevelType w:val="multilevel"/>
    <w:tmpl w:val="7506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2F3525"/>
    <w:multiLevelType w:val="multilevel"/>
    <w:tmpl w:val="1EC27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5"/>
  </w:num>
  <w:num w:numId="4">
    <w:abstractNumId w:val="19"/>
  </w:num>
  <w:num w:numId="5">
    <w:abstractNumId w:val="18"/>
  </w:num>
  <w:num w:numId="6">
    <w:abstractNumId w:val="29"/>
  </w:num>
  <w:num w:numId="7">
    <w:abstractNumId w:val="16"/>
  </w:num>
  <w:num w:numId="8">
    <w:abstractNumId w:val="14"/>
  </w:num>
  <w:num w:numId="9">
    <w:abstractNumId w:val="12"/>
  </w:num>
  <w:num w:numId="10">
    <w:abstractNumId w:val="23"/>
  </w:num>
  <w:num w:numId="11">
    <w:abstractNumId w:val="26"/>
  </w:num>
  <w:num w:numId="12">
    <w:abstractNumId w:val="10"/>
  </w:num>
  <w:num w:numId="13">
    <w:abstractNumId w:val="22"/>
  </w:num>
  <w:num w:numId="14">
    <w:abstractNumId w:val="31"/>
  </w:num>
  <w:num w:numId="15">
    <w:abstractNumId w:val="3"/>
  </w:num>
  <w:num w:numId="16">
    <w:abstractNumId w:val="30"/>
  </w:num>
  <w:num w:numId="17">
    <w:abstractNumId w:val="13"/>
  </w:num>
  <w:num w:numId="18">
    <w:abstractNumId w:val="28"/>
  </w:num>
  <w:num w:numId="19">
    <w:abstractNumId w:val="27"/>
  </w:num>
  <w:num w:numId="20">
    <w:abstractNumId w:val="2"/>
  </w:num>
  <w:num w:numId="21">
    <w:abstractNumId w:val="7"/>
  </w:num>
  <w:num w:numId="22">
    <w:abstractNumId w:val="11"/>
  </w:num>
  <w:num w:numId="23">
    <w:abstractNumId w:val="0"/>
  </w:num>
  <w:num w:numId="24">
    <w:abstractNumId w:val="4"/>
  </w:num>
  <w:num w:numId="25">
    <w:abstractNumId w:val="32"/>
  </w:num>
  <w:num w:numId="26">
    <w:abstractNumId w:val="24"/>
  </w:num>
  <w:num w:numId="27">
    <w:abstractNumId w:val="20"/>
  </w:num>
  <w:num w:numId="28">
    <w:abstractNumId w:val="15"/>
  </w:num>
  <w:num w:numId="29">
    <w:abstractNumId w:val="1"/>
  </w:num>
  <w:num w:numId="30">
    <w:abstractNumId w:val="6"/>
  </w:num>
  <w:num w:numId="31">
    <w:abstractNumId w:val="34"/>
  </w:num>
  <w:num w:numId="32">
    <w:abstractNumId w:val="33"/>
  </w:num>
  <w:num w:numId="33">
    <w:abstractNumId w:val="21"/>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E02FD"/>
    <w:rsid w:val="000F69CB"/>
    <w:rsid w:val="001136EA"/>
    <w:rsid w:val="00146F76"/>
    <w:rsid w:val="00157776"/>
    <w:rsid w:val="00165AAF"/>
    <w:rsid w:val="00187AF4"/>
    <w:rsid w:val="00190A01"/>
    <w:rsid w:val="001971B0"/>
    <w:rsid w:val="001C45EC"/>
    <w:rsid w:val="001C4F14"/>
    <w:rsid w:val="001D23E5"/>
    <w:rsid w:val="00224FE8"/>
    <w:rsid w:val="002B308D"/>
    <w:rsid w:val="002C0D17"/>
    <w:rsid w:val="002E6564"/>
    <w:rsid w:val="00336260"/>
    <w:rsid w:val="00342BA1"/>
    <w:rsid w:val="003472A1"/>
    <w:rsid w:val="003743FC"/>
    <w:rsid w:val="003758A4"/>
    <w:rsid w:val="00375B14"/>
    <w:rsid w:val="003A1792"/>
    <w:rsid w:val="003A18E5"/>
    <w:rsid w:val="003A2284"/>
    <w:rsid w:val="003A4A8C"/>
    <w:rsid w:val="003B33C1"/>
    <w:rsid w:val="00400B11"/>
    <w:rsid w:val="004322CD"/>
    <w:rsid w:val="004364E2"/>
    <w:rsid w:val="00457CDF"/>
    <w:rsid w:val="004640D7"/>
    <w:rsid w:val="00477410"/>
    <w:rsid w:val="00485B7E"/>
    <w:rsid w:val="004916BC"/>
    <w:rsid w:val="004C2CB3"/>
    <w:rsid w:val="004C4CEE"/>
    <w:rsid w:val="004E0392"/>
    <w:rsid w:val="004F200E"/>
    <w:rsid w:val="00520751"/>
    <w:rsid w:val="00537764"/>
    <w:rsid w:val="00552B21"/>
    <w:rsid w:val="00564328"/>
    <w:rsid w:val="0056709A"/>
    <w:rsid w:val="00591DB5"/>
    <w:rsid w:val="005C2182"/>
    <w:rsid w:val="005C3313"/>
    <w:rsid w:val="005E4085"/>
    <w:rsid w:val="005E5B59"/>
    <w:rsid w:val="0061792A"/>
    <w:rsid w:val="00617C37"/>
    <w:rsid w:val="006330C2"/>
    <w:rsid w:val="00643086"/>
    <w:rsid w:val="00661C12"/>
    <w:rsid w:val="00663EA8"/>
    <w:rsid w:val="00666640"/>
    <w:rsid w:val="00690287"/>
    <w:rsid w:val="006A439D"/>
    <w:rsid w:val="006E2141"/>
    <w:rsid w:val="006E5379"/>
    <w:rsid w:val="00770392"/>
    <w:rsid w:val="00785C7D"/>
    <w:rsid w:val="007A10C5"/>
    <w:rsid w:val="007B4E30"/>
    <w:rsid w:val="007C0ED6"/>
    <w:rsid w:val="007C55CC"/>
    <w:rsid w:val="007D32F8"/>
    <w:rsid w:val="007F53B4"/>
    <w:rsid w:val="00801379"/>
    <w:rsid w:val="008510F2"/>
    <w:rsid w:val="00866F43"/>
    <w:rsid w:val="00870715"/>
    <w:rsid w:val="00880E2C"/>
    <w:rsid w:val="008933C2"/>
    <w:rsid w:val="008C22A2"/>
    <w:rsid w:val="008E1244"/>
    <w:rsid w:val="008F2D42"/>
    <w:rsid w:val="0091050E"/>
    <w:rsid w:val="00910E2E"/>
    <w:rsid w:val="00913E35"/>
    <w:rsid w:val="00916CF3"/>
    <w:rsid w:val="00947978"/>
    <w:rsid w:val="00953D00"/>
    <w:rsid w:val="0095512A"/>
    <w:rsid w:val="009622FA"/>
    <w:rsid w:val="00993D9D"/>
    <w:rsid w:val="009A522D"/>
    <w:rsid w:val="009D26DE"/>
    <w:rsid w:val="009D6DFD"/>
    <w:rsid w:val="00A10BB9"/>
    <w:rsid w:val="00A36618"/>
    <w:rsid w:val="00A37393"/>
    <w:rsid w:val="00A40702"/>
    <w:rsid w:val="00A549B3"/>
    <w:rsid w:val="00A65EB5"/>
    <w:rsid w:val="00A934E4"/>
    <w:rsid w:val="00AB7567"/>
    <w:rsid w:val="00AD2B79"/>
    <w:rsid w:val="00AD3970"/>
    <w:rsid w:val="00B12B72"/>
    <w:rsid w:val="00B2583C"/>
    <w:rsid w:val="00B4221B"/>
    <w:rsid w:val="00B536BB"/>
    <w:rsid w:val="00B61057"/>
    <w:rsid w:val="00B705CB"/>
    <w:rsid w:val="00B723E1"/>
    <w:rsid w:val="00B8032D"/>
    <w:rsid w:val="00BA74AF"/>
    <w:rsid w:val="00BB3D7B"/>
    <w:rsid w:val="00BE10F6"/>
    <w:rsid w:val="00BE11AC"/>
    <w:rsid w:val="00BE17BD"/>
    <w:rsid w:val="00BE2FF8"/>
    <w:rsid w:val="00BE3A12"/>
    <w:rsid w:val="00BE7E79"/>
    <w:rsid w:val="00C020E5"/>
    <w:rsid w:val="00C20C18"/>
    <w:rsid w:val="00C2472B"/>
    <w:rsid w:val="00C317CF"/>
    <w:rsid w:val="00C33EC9"/>
    <w:rsid w:val="00C5267C"/>
    <w:rsid w:val="00C53E9B"/>
    <w:rsid w:val="00C61E23"/>
    <w:rsid w:val="00C61EA7"/>
    <w:rsid w:val="00C62EB3"/>
    <w:rsid w:val="00C72694"/>
    <w:rsid w:val="00C94F80"/>
    <w:rsid w:val="00CB7802"/>
    <w:rsid w:val="00D042BB"/>
    <w:rsid w:val="00D24A3A"/>
    <w:rsid w:val="00D638C8"/>
    <w:rsid w:val="00D6445B"/>
    <w:rsid w:val="00DC18BD"/>
    <w:rsid w:val="00DC4666"/>
    <w:rsid w:val="00DD0EAD"/>
    <w:rsid w:val="00DF750D"/>
    <w:rsid w:val="00E03DF2"/>
    <w:rsid w:val="00E07EA1"/>
    <w:rsid w:val="00E11887"/>
    <w:rsid w:val="00E311AA"/>
    <w:rsid w:val="00E4135D"/>
    <w:rsid w:val="00E532AC"/>
    <w:rsid w:val="00E57EBC"/>
    <w:rsid w:val="00E625A2"/>
    <w:rsid w:val="00E8641B"/>
    <w:rsid w:val="00EB636E"/>
    <w:rsid w:val="00EE458B"/>
    <w:rsid w:val="00EE5275"/>
    <w:rsid w:val="00F07A19"/>
    <w:rsid w:val="00F07E78"/>
    <w:rsid w:val="00F24975"/>
    <w:rsid w:val="00F26EE6"/>
    <w:rsid w:val="00F71E0C"/>
    <w:rsid w:val="00F7742F"/>
    <w:rsid w:val="00F77F5B"/>
    <w:rsid w:val="00F839E1"/>
    <w:rsid w:val="00F90A3E"/>
    <w:rsid w:val="00FC0FA7"/>
    <w:rsid w:val="00FE2098"/>
    <w:rsid w:val="00FE5E2E"/>
    <w:rsid w:val="00FF3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F0DE"/>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4364E2"/>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4364E2"/>
    <w:rPr>
      <w:rFonts w:ascii="Arial" w:eastAsia="Arial" w:hAnsi="Arial"/>
      <w:lang w:eastAsia="en-US"/>
    </w:rPr>
  </w:style>
  <w:style w:type="paragraph" w:styleId="NormalWeb">
    <w:name w:val="Normal (Web)"/>
    <w:basedOn w:val="Normal"/>
    <w:uiPriority w:val="99"/>
    <w:semiHidden/>
    <w:unhideWhenUsed/>
    <w:rsid w:val="001C4F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C4F14"/>
    <w:rPr>
      <w:i/>
      <w:iCs/>
    </w:rPr>
  </w:style>
  <w:style w:type="character" w:customStyle="1" w:styleId="il">
    <w:name w:val="il"/>
    <w:basedOn w:val="DefaultParagraphFont"/>
    <w:rsid w:val="001C4F14"/>
  </w:style>
  <w:style w:type="character" w:customStyle="1" w:styleId="m-6103278563161055038title-bigger">
    <w:name w:val="m_-6103278563161055038title-bigger"/>
    <w:basedOn w:val="DefaultParagraphFont"/>
    <w:rsid w:val="00477410"/>
  </w:style>
  <w:style w:type="character" w:customStyle="1" w:styleId="m-6103278563161055038font-bigger">
    <w:name w:val="m_-6103278563161055038font-bigger"/>
    <w:basedOn w:val="DefaultParagraphFont"/>
    <w:rsid w:val="0047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700">
      <w:bodyDiv w:val="1"/>
      <w:marLeft w:val="0"/>
      <w:marRight w:val="0"/>
      <w:marTop w:val="0"/>
      <w:marBottom w:val="0"/>
      <w:divBdr>
        <w:top w:val="none" w:sz="0" w:space="0" w:color="auto"/>
        <w:left w:val="none" w:sz="0" w:space="0" w:color="auto"/>
        <w:bottom w:val="none" w:sz="0" w:space="0" w:color="auto"/>
        <w:right w:val="none" w:sz="0" w:space="0" w:color="auto"/>
      </w:divBdr>
    </w:div>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 w:id="752162240">
      <w:bodyDiv w:val="1"/>
      <w:marLeft w:val="0"/>
      <w:marRight w:val="0"/>
      <w:marTop w:val="0"/>
      <w:marBottom w:val="0"/>
      <w:divBdr>
        <w:top w:val="none" w:sz="0" w:space="0" w:color="auto"/>
        <w:left w:val="none" w:sz="0" w:space="0" w:color="auto"/>
        <w:bottom w:val="none" w:sz="0" w:space="0" w:color="auto"/>
        <w:right w:val="none" w:sz="0" w:space="0" w:color="auto"/>
      </w:divBdr>
    </w:div>
    <w:div w:id="819081259">
      <w:bodyDiv w:val="1"/>
      <w:marLeft w:val="0"/>
      <w:marRight w:val="0"/>
      <w:marTop w:val="0"/>
      <w:marBottom w:val="0"/>
      <w:divBdr>
        <w:top w:val="none" w:sz="0" w:space="0" w:color="auto"/>
        <w:left w:val="none" w:sz="0" w:space="0" w:color="auto"/>
        <w:bottom w:val="none" w:sz="0" w:space="0" w:color="auto"/>
        <w:right w:val="none" w:sz="0" w:space="0" w:color="auto"/>
      </w:divBdr>
      <w:divsChild>
        <w:div w:id="1855456081">
          <w:marLeft w:val="0"/>
          <w:marRight w:val="0"/>
          <w:marTop w:val="0"/>
          <w:marBottom w:val="0"/>
          <w:divBdr>
            <w:top w:val="none" w:sz="0" w:space="0" w:color="auto"/>
            <w:left w:val="none" w:sz="0" w:space="0" w:color="auto"/>
            <w:bottom w:val="none" w:sz="0" w:space="0" w:color="auto"/>
            <w:right w:val="none" w:sz="0" w:space="0" w:color="auto"/>
          </w:divBdr>
        </w:div>
      </w:divsChild>
    </w:div>
    <w:div w:id="1129276610">
      <w:bodyDiv w:val="1"/>
      <w:marLeft w:val="0"/>
      <w:marRight w:val="0"/>
      <w:marTop w:val="0"/>
      <w:marBottom w:val="0"/>
      <w:divBdr>
        <w:top w:val="none" w:sz="0" w:space="0" w:color="auto"/>
        <w:left w:val="none" w:sz="0" w:space="0" w:color="auto"/>
        <w:bottom w:val="none" w:sz="0" w:space="0" w:color="auto"/>
        <w:right w:val="none" w:sz="0" w:space="0" w:color="auto"/>
      </w:divBdr>
    </w:div>
    <w:div w:id="1150898715">
      <w:bodyDiv w:val="1"/>
      <w:marLeft w:val="0"/>
      <w:marRight w:val="0"/>
      <w:marTop w:val="0"/>
      <w:marBottom w:val="0"/>
      <w:divBdr>
        <w:top w:val="none" w:sz="0" w:space="0" w:color="auto"/>
        <w:left w:val="none" w:sz="0" w:space="0" w:color="auto"/>
        <w:bottom w:val="none" w:sz="0" w:space="0" w:color="auto"/>
        <w:right w:val="none" w:sz="0" w:space="0" w:color="auto"/>
      </w:divBdr>
    </w:div>
    <w:div w:id="1270360422">
      <w:bodyDiv w:val="1"/>
      <w:marLeft w:val="0"/>
      <w:marRight w:val="0"/>
      <w:marTop w:val="0"/>
      <w:marBottom w:val="0"/>
      <w:divBdr>
        <w:top w:val="none" w:sz="0" w:space="0" w:color="auto"/>
        <w:left w:val="none" w:sz="0" w:space="0" w:color="auto"/>
        <w:bottom w:val="none" w:sz="0" w:space="0" w:color="auto"/>
        <w:right w:val="none" w:sz="0" w:space="0" w:color="auto"/>
      </w:divBdr>
    </w:div>
    <w:div w:id="1427313284">
      <w:bodyDiv w:val="1"/>
      <w:marLeft w:val="0"/>
      <w:marRight w:val="0"/>
      <w:marTop w:val="0"/>
      <w:marBottom w:val="0"/>
      <w:divBdr>
        <w:top w:val="none" w:sz="0" w:space="0" w:color="auto"/>
        <w:left w:val="none" w:sz="0" w:space="0" w:color="auto"/>
        <w:bottom w:val="none" w:sz="0" w:space="0" w:color="auto"/>
        <w:right w:val="none" w:sz="0" w:space="0" w:color="auto"/>
      </w:divBdr>
    </w:div>
    <w:div w:id="1551258262">
      <w:bodyDiv w:val="1"/>
      <w:marLeft w:val="0"/>
      <w:marRight w:val="0"/>
      <w:marTop w:val="0"/>
      <w:marBottom w:val="0"/>
      <w:divBdr>
        <w:top w:val="none" w:sz="0" w:space="0" w:color="auto"/>
        <w:left w:val="none" w:sz="0" w:space="0" w:color="auto"/>
        <w:bottom w:val="none" w:sz="0" w:space="0" w:color="auto"/>
        <w:right w:val="none" w:sz="0" w:space="0" w:color="auto"/>
      </w:divBdr>
    </w:div>
    <w:div w:id="1669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thestar.ca/t?r=37&amp;c=13120&amp;l=399&amp;ctl=2A4EB:201B65313E7658024704A4A8C87C8DAA67ADE39EE60F83FA&amp;" TargetMode="External"/><Relationship Id="rId13" Type="http://schemas.openxmlformats.org/officeDocument/2006/relationships/image" Target="media/image2.png"/><Relationship Id="rId18" Type="http://schemas.openxmlformats.org/officeDocument/2006/relationships/hyperlink" Target="mailto:creid@amo.on.ca" TargetMode="External"/><Relationship Id="rId3" Type="http://schemas.openxmlformats.org/officeDocument/2006/relationships/settings" Target="settings.xml"/><Relationship Id="rId7" Type="http://schemas.openxmlformats.org/officeDocument/2006/relationships/hyperlink" Target="http://send.thestar.ca/t?r=37&amp;c=13120&amp;l=399&amp;ctl=2A4EA:201B65313E7658024704A4A8C87C8DAA67ADE39EE60F83FA&amp;" TargetMode="External"/><Relationship Id="rId12" Type="http://schemas.openxmlformats.org/officeDocument/2006/relationships/hyperlink" Target="http://www.counselpa.com/" TargetMode="External"/><Relationship Id="rId17" Type="http://schemas.openxmlformats.org/officeDocument/2006/relationships/hyperlink" Target="mailto:cathiebrown@amo.on.ca" TargetMode="External"/><Relationship Id="rId2" Type="http://schemas.openxmlformats.org/officeDocument/2006/relationships/styles" Target="styles.xml"/><Relationship Id="rId16" Type="http://schemas.openxmlformats.org/officeDocument/2006/relationships/hyperlink" Target="mailto:mwilson@amo.on.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d.thestar.ca/t?r=37&amp;c=13120&amp;l=399&amp;ctl=2A4E9:201B65313E7658024704A4A8C87C8DAA67ADE39EE60F83FA&amp;" TargetMode="External"/><Relationship Id="rId11" Type="http://schemas.openxmlformats.org/officeDocument/2006/relationships/hyperlink" Target="https://www.ontario.ca/page/more-homes-more-choice-ontarios-housing-supply-action-plan?_ga=2.208184212.766481754.1556880132-1482365976.1556880132" TargetMode="External"/><Relationship Id="rId5" Type="http://schemas.openxmlformats.org/officeDocument/2006/relationships/image" Target="media/image1.png"/><Relationship Id="rId15" Type="http://schemas.openxmlformats.org/officeDocument/2006/relationships/hyperlink" Target="https://urldefense.proofpoint.com/v2/url?u=http-3A__AMO.informz.ca_z_cjUucD9taT0xMDg2MzQxJnA9MSZ1PTkwMjc4NTM3NyZsaT0xNDQ5NjEyNw_index.html&amp;d=DwMBaQ&amp;c=fMYCMpvyrCeAgEEhg2KwUA&amp;r=VzadmgCSquCPaeIf7wBIAApX5U_amve2pCRV1XbUHuY&amp;m=Wyww8lxzegvWsY0KQOLqKigbpZCRELVETBCuncP-BFU&amp;s=XWO6p3bOv-0xwcP3ig-ikE75EcI-rpJXJbx1lSNokKw&amp;e=" TargetMode="External"/><Relationship Id="rId10" Type="http://schemas.openxmlformats.org/officeDocument/2006/relationships/hyperlink" Target="http://send.thestar.ca/t?r=37&amp;c=13120&amp;l=399&amp;ctl=2A4ED:201B65313E7658024704A4A8C87C8DAA67ADE39EE60F83FA&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d.thestar.ca/t?r=37&amp;c=13120&amp;l=399&amp;ctl=2A4EC:201B65313E7658024704A4A8C87C8DAA67ADE39EE60F83FA&amp;" TargetMode="External"/><Relationship Id="rId14" Type="http://schemas.openxmlformats.org/officeDocument/2006/relationships/hyperlink" Target="https://urldefense.proofpoint.com/v2/url?u=http-3A__AMO.informz.ca_z_cjUucD9taT0xMDg2MzQxJnA9MSZ1PTkwMjc4NTM3NyZsaT0xNDQ5NjEyNg_index.html&amp;d=DwMBaQ&amp;c=fMYCMpvyrCeAgEEhg2KwUA&amp;r=VzadmgCSquCPaeIf7wBIAApX5U_amve2pCRV1XbUHuY&amp;m=Wyww8lxzegvWsY0KQOLqKigbpZCRELVETBCuncP-BFU&amp;s=Hp6oZ8Iaa2Q-ImIahnxOFYSkXbY-5t5pCAewTz0wZe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9</cp:revision>
  <cp:lastPrinted>2019-06-05T12:05:00Z</cp:lastPrinted>
  <dcterms:created xsi:type="dcterms:W3CDTF">2019-05-25T15:58:00Z</dcterms:created>
  <dcterms:modified xsi:type="dcterms:W3CDTF">2019-06-05T12:05:00Z</dcterms:modified>
</cp:coreProperties>
</file>