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FA" w:rsidRDefault="002355C3" w:rsidP="000925FA">
      <w:pPr>
        <w:pStyle w:val="Default"/>
        <w:jc w:val="center"/>
      </w:pPr>
      <w:r>
        <w:t xml:space="preserve"> </w:t>
      </w:r>
      <w:r w:rsidR="000925FA" w:rsidRPr="000925FA">
        <w:rPr>
          <w:noProof/>
          <w:lang w:eastAsia="en-CA"/>
        </w:rPr>
        <w:drawing>
          <wp:inline distT="0" distB="0" distL="0" distR="0">
            <wp:extent cx="36861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904875"/>
                    </a:xfrm>
                    <a:prstGeom prst="rect">
                      <a:avLst/>
                    </a:prstGeom>
                    <a:noFill/>
                    <a:ln>
                      <a:noFill/>
                    </a:ln>
                  </pic:spPr>
                </pic:pic>
              </a:graphicData>
            </a:graphic>
          </wp:inline>
        </w:drawing>
      </w:r>
    </w:p>
    <w:p w:rsidR="000925FA" w:rsidRDefault="000925FA" w:rsidP="006007BB">
      <w:pPr>
        <w:pStyle w:val="Default"/>
        <w:rPr>
          <w:sz w:val="28"/>
          <w:szCs w:val="28"/>
        </w:rPr>
      </w:pPr>
      <w:r>
        <w:t xml:space="preserve"> </w:t>
      </w:r>
      <w:r w:rsidRPr="004642B3">
        <w:rPr>
          <w:b/>
          <w:bCs/>
          <w:sz w:val="28"/>
          <w:szCs w:val="28"/>
        </w:rPr>
        <w:t xml:space="preserve">Agenda Document Number </w:t>
      </w:r>
      <w:r w:rsidR="00CA693E">
        <w:rPr>
          <w:b/>
          <w:bCs/>
          <w:sz w:val="28"/>
          <w:szCs w:val="28"/>
        </w:rPr>
        <w:t>6</w:t>
      </w:r>
    </w:p>
    <w:p w:rsidR="000925FA" w:rsidRDefault="000925FA" w:rsidP="000925FA">
      <w:pPr>
        <w:pStyle w:val="Default"/>
        <w:rPr>
          <w:sz w:val="28"/>
          <w:szCs w:val="28"/>
        </w:rPr>
      </w:pPr>
      <w:r>
        <w:rPr>
          <w:b/>
          <w:bCs/>
          <w:sz w:val="28"/>
          <w:szCs w:val="28"/>
        </w:rPr>
        <w:t xml:space="preserve">____________________________________________________________ </w:t>
      </w:r>
    </w:p>
    <w:p w:rsidR="002F6398" w:rsidRPr="00E3055F" w:rsidRDefault="000925FA" w:rsidP="000925FA">
      <w:pPr>
        <w:pStyle w:val="Default"/>
        <w:rPr>
          <w:b/>
          <w:bCs/>
          <w:sz w:val="23"/>
          <w:szCs w:val="23"/>
        </w:rPr>
      </w:pPr>
      <w:r w:rsidRPr="00E3055F">
        <w:rPr>
          <w:b/>
          <w:bCs/>
          <w:sz w:val="23"/>
          <w:szCs w:val="23"/>
        </w:rPr>
        <w:t xml:space="preserve">Subject: </w:t>
      </w:r>
      <w:r w:rsidR="00CA693E" w:rsidRPr="00E3055F">
        <w:rPr>
          <w:b/>
          <w:bCs/>
          <w:sz w:val="23"/>
          <w:szCs w:val="23"/>
        </w:rPr>
        <w:t>Strategic Planning &amp; Priorities</w:t>
      </w:r>
      <w:r w:rsidRPr="00E3055F">
        <w:rPr>
          <w:b/>
          <w:bCs/>
          <w:sz w:val="23"/>
          <w:szCs w:val="23"/>
        </w:rPr>
        <w:t xml:space="preserve"> Report </w:t>
      </w:r>
    </w:p>
    <w:p w:rsidR="002F6398" w:rsidRPr="00E3055F" w:rsidRDefault="000925FA" w:rsidP="0057380D">
      <w:pPr>
        <w:pStyle w:val="Default"/>
        <w:rPr>
          <w:b/>
          <w:bCs/>
          <w:sz w:val="23"/>
          <w:szCs w:val="23"/>
        </w:rPr>
      </w:pPr>
      <w:r w:rsidRPr="00E3055F">
        <w:rPr>
          <w:b/>
          <w:bCs/>
          <w:sz w:val="23"/>
          <w:szCs w:val="23"/>
        </w:rPr>
        <w:t xml:space="preserve">Prepared by: </w:t>
      </w:r>
      <w:r w:rsidR="00CA693E" w:rsidRPr="00E3055F">
        <w:rPr>
          <w:b/>
          <w:bCs/>
          <w:sz w:val="23"/>
          <w:szCs w:val="23"/>
        </w:rPr>
        <w:t xml:space="preserve">Stephen Abram, executive director </w:t>
      </w:r>
    </w:p>
    <w:p w:rsidR="002F6398" w:rsidRPr="00E3055F" w:rsidRDefault="000925FA" w:rsidP="000F103D">
      <w:pPr>
        <w:pStyle w:val="Default"/>
        <w:rPr>
          <w:b/>
          <w:bCs/>
          <w:sz w:val="23"/>
          <w:szCs w:val="23"/>
        </w:rPr>
      </w:pPr>
      <w:r w:rsidRPr="00E3055F">
        <w:rPr>
          <w:b/>
          <w:bCs/>
          <w:sz w:val="23"/>
          <w:szCs w:val="23"/>
        </w:rPr>
        <w:t xml:space="preserve">Prepared for: </w:t>
      </w:r>
      <w:r w:rsidR="00E71390" w:rsidRPr="00E3055F">
        <w:rPr>
          <w:b/>
          <w:bCs/>
          <w:sz w:val="23"/>
          <w:szCs w:val="23"/>
        </w:rPr>
        <w:t>November 15</w:t>
      </w:r>
      <w:r w:rsidR="002C333F" w:rsidRPr="00E3055F">
        <w:rPr>
          <w:b/>
          <w:bCs/>
          <w:sz w:val="23"/>
          <w:szCs w:val="23"/>
        </w:rPr>
        <w:t>,</w:t>
      </w:r>
      <w:r w:rsidR="002F6398" w:rsidRPr="00E3055F">
        <w:rPr>
          <w:b/>
          <w:bCs/>
          <w:sz w:val="23"/>
          <w:szCs w:val="23"/>
        </w:rPr>
        <w:t xml:space="preserve"> </w:t>
      </w:r>
      <w:r w:rsidRPr="00E3055F">
        <w:rPr>
          <w:b/>
          <w:bCs/>
          <w:sz w:val="23"/>
          <w:szCs w:val="23"/>
        </w:rPr>
        <w:t>201</w:t>
      </w:r>
      <w:r w:rsidR="004C7EBB" w:rsidRPr="00E3055F">
        <w:rPr>
          <w:b/>
          <w:bCs/>
          <w:sz w:val="23"/>
          <w:szCs w:val="23"/>
        </w:rPr>
        <w:t>9</w:t>
      </w:r>
      <w:r w:rsidRPr="00E3055F">
        <w:rPr>
          <w:b/>
          <w:bCs/>
          <w:sz w:val="23"/>
          <w:szCs w:val="23"/>
        </w:rPr>
        <w:t xml:space="preserve"> FOPL </w:t>
      </w:r>
      <w:r w:rsidR="002F6398" w:rsidRPr="00E3055F">
        <w:rPr>
          <w:b/>
          <w:bCs/>
          <w:sz w:val="23"/>
          <w:szCs w:val="23"/>
        </w:rPr>
        <w:t>Board</w:t>
      </w:r>
      <w:r w:rsidRPr="00E3055F">
        <w:rPr>
          <w:b/>
          <w:bCs/>
          <w:sz w:val="23"/>
          <w:szCs w:val="23"/>
        </w:rPr>
        <w:t xml:space="preserve"> Meeting</w:t>
      </w:r>
    </w:p>
    <w:p w:rsidR="004223BC" w:rsidRPr="00E3055F" w:rsidRDefault="000925FA" w:rsidP="000F103D">
      <w:pPr>
        <w:pStyle w:val="Default"/>
        <w:rPr>
          <w:b/>
          <w:bCs/>
          <w:sz w:val="23"/>
          <w:szCs w:val="23"/>
        </w:rPr>
      </w:pPr>
      <w:r w:rsidRPr="00E3055F">
        <w:rPr>
          <w:b/>
          <w:bCs/>
          <w:sz w:val="23"/>
          <w:szCs w:val="23"/>
        </w:rPr>
        <w:t xml:space="preserve">Date of Preparation: </w:t>
      </w:r>
      <w:r w:rsidR="00E71390" w:rsidRPr="00E3055F">
        <w:rPr>
          <w:b/>
          <w:bCs/>
          <w:sz w:val="23"/>
          <w:szCs w:val="23"/>
        </w:rPr>
        <w:t>November</w:t>
      </w:r>
      <w:r w:rsidR="00AF24F4" w:rsidRPr="00E3055F">
        <w:rPr>
          <w:b/>
          <w:bCs/>
          <w:sz w:val="23"/>
          <w:szCs w:val="23"/>
        </w:rPr>
        <w:t xml:space="preserve"> </w:t>
      </w:r>
      <w:r w:rsidR="00CA693E" w:rsidRPr="00E3055F">
        <w:rPr>
          <w:b/>
          <w:bCs/>
          <w:sz w:val="23"/>
          <w:szCs w:val="23"/>
        </w:rPr>
        <w:t>12</w:t>
      </w:r>
      <w:r w:rsidRPr="00E3055F">
        <w:rPr>
          <w:b/>
          <w:bCs/>
          <w:sz w:val="23"/>
          <w:szCs w:val="23"/>
        </w:rPr>
        <w:t>, 201</w:t>
      </w:r>
      <w:r w:rsidR="007872C1" w:rsidRPr="00E3055F">
        <w:rPr>
          <w:b/>
          <w:bCs/>
          <w:sz w:val="23"/>
          <w:szCs w:val="23"/>
        </w:rPr>
        <w:t>9</w:t>
      </w:r>
    </w:p>
    <w:p w:rsidR="000925FA" w:rsidRPr="00E3055F" w:rsidRDefault="00A63DD3" w:rsidP="000925FA">
      <w:pPr>
        <w:pStyle w:val="Default"/>
        <w:rPr>
          <w:sz w:val="28"/>
          <w:szCs w:val="28"/>
        </w:rPr>
      </w:pPr>
      <w:r w:rsidRPr="00E3055F">
        <w:rPr>
          <w:b/>
          <w:bCs/>
          <w:sz w:val="28"/>
          <w:szCs w:val="28"/>
        </w:rPr>
        <w:t>SUBJECT: 2020+ Goals Discussion Document</w:t>
      </w:r>
    </w:p>
    <w:p w:rsidR="00E64D7D" w:rsidRPr="00E3055F" w:rsidRDefault="00E64D7D" w:rsidP="000925FA">
      <w:pPr>
        <w:pStyle w:val="Default"/>
        <w:rPr>
          <w:b/>
          <w:bCs/>
          <w:sz w:val="23"/>
          <w:szCs w:val="23"/>
        </w:rPr>
      </w:pPr>
    </w:p>
    <w:p w:rsidR="00CA693E" w:rsidRPr="00E3055F" w:rsidRDefault="00CA693E" w:rsidP="000925FA">
      <w:pPr>
        <w:pStyle w:val="Default"/>
        <w:rPr>
          <w:b/>
          <w:bCs/>
          <w:sz w:val="23"/>
          <w:szCs w:val="23"/>
        </w:rPr>
      </w:pPr>
      <w:r w:rsidRPr="00E3055F">
        <w:rPr>
          <w:b/>
          <w:bCs/>
          <w:sz w:val="23"/>
          <w:szCs w:val="23"/>
        </w:rPr>
        <w:t>At our September Board meeting the executive director was tasked with creating a revised set of goals for 2020+ given that our strategic plan is aging and the general consensus was that the strategic priorities were fine but that we needed to polish the annual goals.</w:t>
      </w:r>
    </w:p>
    <w:p w:rsidR="00A63DD3" w:rsidRPr="00E3055F" w:rsidRDefault="00A63DD3" w:rsidP="000925FA">
      <w:pPr>
        <w:pStyle w:val="Default"/>
        <w:rPr>
          <w:b/>
          <w:bCs/>
          <w:sz w:val="23"/>
          <w:szCs w:val="23"/>
        </w:rPr>
      </w:pPr>
    </w:p>
    <w:p w:rsidR="00A63DD3" w:rsidRPr="00E3055F" w:rsidRDefault="00A63DD3" w:rsidP="00A63DD3">
      <w:pPr>
        <w:pStyle w:val="NormalWeb"/>
        <w:rPr>
          <w:rFonts w:ascii="Arial" w:hAnsi="Arial" w:cs="Arial"/>
        </w:rPr>
      </w:pPr>
      <w:r w:rsidRPr="00E3055F">
        <w:rPr>
          <w:rStyle w:val="Strong"/>
          <w:rFonts w:ascii="Arial" w:hAnsi="Arial" w:cs="Arial"/>
        </w:rPr>
        <w:t>“</w:t>
      </w:r>
      <w:r w:rsidRPr="00E3055F">
        <w:rPr>
          <w:rStyle w:val="Strong"/>
          <w:rFonts w:ascii="Arial" w:hAnsi="Arial" w:cs="Arial"/>
        </w:rPr>
        <w:t>Vision:  One Voice for Ontario’s Public Libraries</w:t>
      </w:r>
    </w:p>
    <w:p w:rsidR="00A63DD3" w:rsidRPr="00E3055F" w:rsidRDefault="00A63DD3" w:rsidP="00A63DD3">
      <w:pPr>
        <w:pStyle w:val="NormalWeb"/>
        <w:rPr>
          <w:rFonts w:ascii="Arial" w:hAnsi="Arial" w:cs="Arial"/>
        </w:rPr>
      </w:pPr>
      <w:r w:rsidRPr="00E3055F">
        <w:rPr>
          <w:rFonts w:ascii="Arial" w:hAnsi="Arial" w:cs="Arial"/>
        </w:rPr>
        <w:t>The purpose of the Federation is to support and advocate furthering Ontario public libraries and the communities they serve. In order to strengthen and improve the provision of public library service, the Federation will act in a cooperative manner with other affiliated library organizations to market public libraries’ value and collaboratively, coordinate opportunities to build people capacity within Ontario’s public libraries. To ensure sustainability, the Federation will increase organizational resiliency.</w:t>
      </w:r>
      <w:r w:rsidRPr="00E3055F">
        <w:rPr>
          <w:rFonts w:ascii="Arial" w:hAnsi="Arial" w:cs="Arial"/>
        </w:rPr>
        <w:t>”</w:t>
      </w:r>
    </w:p>
    <w:p w:rsidR="00A63DD3" w:rsidRPr="00E3055F" w:rsidRDefault="00A63DD3" w:rsidP="000925FA">
      <w:pPr>
        <w:pStyle w:val="Default"/>
        <w:rPr>
          <w:b/>
          <w:bCs/>
          <w:sz w:val="23"/>
          <w:szCs w:val="23"/>
        </w:rPr>
      </w:pPr>
      <w:r w:rsidRPr="00E3055F">
        <w:rPr>
          <w:b/>
          <w:bCs/>
          <w:sz w:val="23"/>
          <w:szCs w:val="23"/>
        </w:rPr>
        <w:t>2016-2020 Goals</w:t>
      </w:r>
    </w:p>
    <w:p w:rsidR="00A63DD3" w:rsidRPr="00E3055F" w:rsidRDefault="00A63DD3" w:rsidP="000925FA">
      <w:pPr>
        <w:pStyle w:val="Default"/>
        <w:rPr>
          <w:b/>
          <w:bCs/>
          <w:sz w:val="23"/>
          <w:szCs w:val="23"/>
        </w:rPr>
      </w:pPr>
    </w:p>
    <w:p w:rsidR="00A63DD3" w:rsidRPr="00E3055F" w:rsidRDefault="00A63DD3" w:rsidP="00A63DD3">
      <w:pPr>
        <w:pStyle w:val="Default"/>
        <w:numPr>
          <w:ilvl w:val="0"/>
          <w:numId w:val="17"/>
        </w:numPr>
        <w:rPr>
          <w:b/>
          <w:bCs/>
          <w:sz w:val="23"/>
          <w:szCs w:val="23"/>
        </w:rPr>
      </w:pPr>
      <w:r w:rsidRPr="00E3055F">
        <w:rPr>
          <w:b/>
          <w:bCs/>
          <w:sz w:val="23"/>
          <w:szCs w:val="23"/>
        </w:rPr>
        <w:t>Advocacy &amp; Influence</w:t>
      </w:r>
    </w:p>
    <w:p w:rsidR="00A63DD3" w:rsidRPr="00E3055F" w:rsidRDefault="00A63DD3" w:rsidP="00A63DD3">
      <w:pPr>
        <w:pStyle w:val="ListParagraph"/>
        <w:numPr>
          <w:ilvl w:val="0"/>
          <w:numId w:val="17"/>
        </w:numPr>
        <w:spacing w:before="100" w:beforeAutospacing="1" w:after="100" w:afterAutospacing="1" w:line="240" w:lineRule="auto"/>
        <w:rPr>
          <w:rFonts w:ascii="Arial" w:eastAsia="Times New Roman" w:hAnsi="Arial" w:cs="Arial"/>
          <w:sz w:val="24"/>
          <w:szCs w:val="24"/>
          <w:lang w:eastAsia="en-CA"/>
        </w:rPr>
      </w:pPr>
      <w:r w:rsidRPr="00E3055F">
        <w:rPr>
          <w:rFonts w:ascii="Arial" w:eastAsia="Times New Roman" w:hAnsi="Arial" w:cs="Arial"/>
          <w:b/>
          <w:bCs/>
          <w:sz w:val="24"/>
          <w:szCs w:val="24"/>
          <w:lang w:eastAsia="en-CA"/>
        </w:rPr>
        <w:t>Marketing Public Library value and Impact</w:t>
      </w:r>
    </w:p>
    <w:p w:rsidR="00A63DD3" w:rsidRPr="00E3055F" w:rsidRDefault="00A63DD3" w:rsidP="00A63DD3">
      <w:pPr>
        <w:pStyle w:val="ListParagraph"/>
        <w:numPr>
          <w:ilvl w:val="0"/>
          <w:numId w:val="17"/>
        </w:numPr>
        <w:spacing w:before="100" w:beforeAutospacing="1" w:after="100" w:afterAutospacing="1" w:line="240" w:lineRule="auto"/>
        <w:rPr>
          <w:rFonts w:ascii="Arial" w:eastAsia="Times New Roman" w:hAnsi="Arial" w:cs="Arial"/>
          <w:sz w:val="24"/>
          <w:szCs w:val="24"/>
          <w:lang w:eastAsia="en-CA"/>
        </w:rPr>
      </w:pPr>
      <w:r w:rsidRPr="00E3055F">
        <w:rPr>
          <w:rFonts w:ascii="Arial" w:eastAsia="Times New Roman" w:hAnsi="Arial" w:cs="Arial"/>
          <w:b/>
          <w:bCs/>
          <w:sz w:val="24"/>
          <w:szCs w:val="24"/>
          <w:lang w:eastAsia="en-CA"/>
        </w:rPr>
        <w:t>FOPL Organizational Resilience</w:t>
      </w:r>
    </w:p>
    <w:p w:rsidR="00A63DD3" w:rsidRPr="00E3055F" w:rsidRDefault="00A63DD3" w:rsidP="00A63DD3">
      <w:pPr>
        <w:pStyle w:val="ListParagraph"/>
        <w:numPr>
          <w:ilvl w:val="0"/>
          <w:numId w:val="17"/>
        </w:numPr>
        <w:spacing w:before="100" w:beforeAutospacing="1" w:after="100" w:afterAutospacing="1" w:line="240" w:lineRule="auto"/>
        <w:rPr>
          <w:rFonts w:ascii="Arial" w:eastAsia="Times New Roman" w:hAnsi="Arial" w:cs="Arial"/>
          <w:sz w:val="24"/>
          <w:szCs w:val="24"/>
          <w:lang w:eastAsia="en-CA"/>
        </w:rPr>
      </w:pPr>
      <w:r w:rsidRPr="00E3055F">
        <w:rPr>
          <w:rFonts w:ascii="Arial" w:eastAsia="Times New Roman" w:hAnsi="Arial" w:cs="Arial"/>
          <w:b/>
          <w:bCs/>
          <w:sz w:val="24"/>
          <w:szCs w:val="24"/>
          <w:lang w:eastAsia="en-CA"/>
        </w:rPr>
        <w:t>People Capacity: Training &amp; Development</w:t>
      </w:r>
    </w:p>
    <w:p w:rsidR="00A63DD3" w:rsidRPr="00E3055F" w:rsidRDefault="00A63DD3" w:rsidP="000925FA">
      <w:pPr>
        <w:pStyle w:val="Default"/>
        <w:rPr>
          <w:b/>
          <w:bCs/>
          <w:sz w:val="23"/>
          <w:szCs w:val="23"/>
        </w:rPr>
      </w:pPr>
    </w:p>
    <w:p w:rsidR="00E3055F" w:rsidRPr="00E3055F" w:rsidRDefault="00E3055F">
      <w:pPr>
        <w:rPr>
          <w:rFonts w:ascii="Arial" w:hAnsi="Arial" w:cs="Arial"/>
          <w:b/>
          <w:bCs/>
          <w:color w:val="000000"/>
          <w:sz w:val="23"/>
          <w:szCs w:val="23"/>
        </w:rPr>
      </w:pPr>
      <w:r w:rsidRPr="00E3055F">
        <w:rPr>
          <w:rFonts w:ascii="Arial" w:hAnsi="Arial" w:cs="Arial"/>
          <w:b/>
          <w:bCs/>
          <w:sz w:val="23"/>
          <w:szCs w:val="23"/>
        </w:rPr>
        <w:br w:type="page"/>
      </w:r>
    </w:p>
    <w:p w:rsidR="00CA693E" w:rsidRDefault="00CA693E" w:rsidP="000925FA">
      <w:pPr>
        <w:pStyle w:val="Default"/>
        <w:rPr>
          <w:bCs/>
          <w:sz w:val="23"/>
          <w:szCs w:val="23"/>
        </w:rPr>
      </w:pPr>
      <w:r w:rsidRPr="00CA693E">
        <w:rPr>
          <w:bCs/>
          <w:sz w:val="23"/>
          <w:szCs w:val="23"/>
        </w:rPr>
        <w:lastRenderedPageBreak/>
        <w:t>Here are the draft goals for 2020 for discussion by the board and amendment (and, ultimately adoption as overall direction to the executive director and Board for 2020+):</w:t>
      </w:r>
    </w:p>
    <w:p w:rsidR="00380DE5" w:rsidRDefault="00380DE5" w:rsidP="00380DE5">
      <w:pPr>
        <w:rPr>
          <w:noProof/>
          <w:lang w:eastAsia="en-CA"/>
        </w:rPr>
      </w:pPr>
    </w:p>
    <w:tbl>
      <w:tblPr>
        <w:tblStyle w:val="TableGrid"/>
        <w:tblW w:w="0" w:type="auto"/>
        <w:tblLook w:val="04A0" w:firstRow="1" w:lastRow="0" w:firstColumn="1" w:lastColumn="0" w:noHBand="0" w:noVBand="1"/>
      </w:tblPr>
      <w:tblGrid>
        <w:gridCol w:w="1615"/>
        <w:gridCol w:w="7735"/>
      </w:tblGrid>
      <w:tr w:rsidR="00380DE5" w:rsidTr="00245F07">
        <w:tc>
          <w:tcPr>
            <w:tcW w:w="1615" w:type="dxa"/>
            <w:tcBorders>
              <w:top w:val="nil"/>
              <w:left w:val="nil"/>
              <w:bottom w:val="nil"/>
              <w:right w:val="nil"/>
            </w:tcBorders>
          </w:tcPr>
          <w:p w:rsidR="00380DE5" w:rsidRDefault="00380DE5" w:rsidP="00245F07">
            <w:r w:rsidRPr="00213780">
              <w:rPr>
                <w:noProof/>
                <w:lang w:eastAsia="en-CA"/>
              </w:rPr>
              <w:drawing>
                <wp:inline distT="0" distB="0" distL="0" distR="0" wp14:anchorId="3B1A1FB2" wp14:editId="743EC814">
                  <wp:extent cx="657225" cy="722555"/>
                  <wp:effectExtent l="0" t="0" r="0" b="1905"/>
                  <wp:docPr id="4" name="Picture 3" descr="E is for Explore!: Math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 is for Explore!: Math Quest"/>
                          <pic:cNvPicPr>
                            <a:picLocks noChangeAspect="1"/>
                          </pic:cNvPicPr>
                        </pic:nvPicPr>
                        <pic:blipFill rotWithShape="1">
                          <a:blip r:embed="rId7" cstate="print">
                            <a:extLst>
                              <a:ext uri="{28A0092B-C50C-407E-A947-70E740481C1C}">
                                <a14:useLocalDpi xmlns:a14="http://schemas.microsoft.com/office/drawing/2010/main" val="0"/>
                              </a:ext>
                            </a:extLst>
                          </a:blip>
                          <a:srcRect t="62645" r="77172" b="1566"/>
                          <a:stretch/>
                        </pic:blipFill>
                        <pic:spPr bwMode="auto">
                          <a:xfrm>
                            <a:off x="0" y="0"/>
                            <a:ext cx="679187" cy="746700"/>
                          </a:xfrm>
                          <a:prstGeom prst="rect">
                            <a:avLst/>
                          </a:prstGeom>
                          <a:ln>
                            <a:noFill/>
                          </a:ln>
                          <a:extLst>
                            <a:ext uri="{53640926-AAD7-44D8-BBD7-CCE9431645EC}">
                              <a14:shadowObscured xmlns:a14="http://schemas.microsoft.com/office/drawing/2010/main"/>
                            </a:ext>
                          </a:extLst>
                        </pic:spPr>
                      </pic:pic>
                    </a:graphicData>
                  </a:graphic>
                </wp:inline>
              </w:drawing>
            </w:r>
          </w:p>
        </w:tc>
        <w:tc>
          <w:tcPr>
            <w:tcW w:w="7735" w:type="dxa"/>
            <w:tcBorders>
              <w:top w:val="nil"/>
              <w:left w:val="nil"/>
              <w:bottom w:val="nil"/>
              <w:right w:val="nil"/>
            </w:tcBorders>
          </w:tcPr>
          <w:p w:rsidR="00380DE5" w:rsidRPr="00A63DD3" w:rsidRDefault="00380DE5" w:rsidP="00245F07">
            <w:pPr>
              <w:rPr>
                <w:rFonts w:ascii="Arial" w:hAnsi="Arial" w:cs="Arial"/>
                <w:sz w:val="24"/>
                <w:szCs w:val="24"/>
              </w:rPr>
            </w:pPr>
          </w:p>
          <w:p w:rsidR="00A63DD3" w:rsidRPr="00A63DD3" w:rsidRDefault="00A63DD3" w:rsidP="00A63DD3">
            <w:pPr>
              <w:pStyle w:val="Default"/>
              <w:rPr>
                <w:b/>
                <w:bCs/>
              </w:rPr>
            </w:pPr>
            <w:r w:rsidRPr="00A63DD3">
              <w:rPr>
                <w:b/>
                <w:bCs/>
              </w:rPr>
              <w:t>Advocacy &amp; Influence</w:t>
            </w:r>
          </w:p>
          <w:p w:rsidR="00380DE5" w:rsidRPr="00A63DD3" w:rsidRDefault="00380DE5" w:rsidP="00245F07">
            <w:pPr>
              <w:rPr>
                <w:rFonts w:ascii="Arial" w:hAnsi="Arial" w:cs="Arial"/>
                <w:sz w:val="24"/>
                <w:szCs w:val="24"/>
              </w:rPr>
            </w:pPr>
            <w:r w:rsidRPr="00A63DD3">
              <w:rPr>
                <w:rFonts w:ascii="Arial" w:hAnsi="Arial" w:cs="Arial"/>
                <w:sz w:val="24"/>
                <w:szCs w:val="24"/>
              </w:rPr>
              <w:t xml:space="preserve">FOPL raison d’être is government relations. Our number one goal should be focused on this activity.  We should not just focus on good relationships but on results.  We also need to be scanning the Ontario environment for issues to prioritize and choose to address.  </w:t>
            </w:r>
          </w:p>
          <w:p w:rsidR="00380DE5" w:rsidRPr="00A63DD3" w:rsidRDefault="00380DE5" w:rsidP="00245F07">
            <w:pPr>
              <w:rPr>
                <w:rFonts w:ascii="Arial" w:hAnsi="Arial" w:cs="Arial"/>
                <w:sz w:val="24"/>
                <w:szCs w:val="24"/>
              </w:rPr>
            </w:pPr>
          </w:p>
        </w:tc>
      </w:tr>
      <w:tr w:rsidR="00380DE5" w:rsidTr="00245F07">
        <w:tc>
          <w:tcPr>
            <w:tcW w:w="1615" w:type="dxa"/>
            <w:tcBorders>
              <w:top w:val="nil"/>
              <w:left w:val="nil"/>
              <w:bottom w:val="nil"/>
              <w:right w:val="nil"/>
            </w:tcBorders>
          </w:tcPr>
          <w:p w:rsidR="00380DE5" w:rsidRDefault="00380DE5" w:rsidP="00245F07">
            <w:r>
              <w:t xml:space="preserve"> </w:t>
            </w:r>
            <w:r w:rsidRPr="006842C5">
              <w:rPr>
                <w:noProof/>
                <w:lang w:eastAsia="en-CA"/>
              </w:rPr>
              <w:drawing>
                <wp:inline distT="0" distB="0" distL="0" distR="0" wp14:anchorId="278E8DFE" wp14:editId="22EA2450">
                  <wp:extent cx="609600" cy="710720"/>
                  <wp:effectExtent l="0" t="0" r="0" b="0"/>
                  <wp:docPr id="3" name="Picture 3" descr="E is for Explore!: Math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 is for Explore!: Math Quest"/>
                          <pic:cNvPicPr>
                            <a:picLocks noChangeAspect="1"/>
                          </pic:cNvPicPr>
                        </pic:nvPicPr>
                        <pic:blipFill rotWithShape="1">
                          <a:blip r:embed="rId8" cstate="print">
                            <a:extLst>
                              <a:ext uri="{28A0092B-C50C-407E-A947-70E740481C1C}">
                                <a14:useLocalDpi xmlns:a14="http://schemas.microsoft.com/office/drawing/2010/main" val="0"/>
                              </a:ext>
                            </a:extLst>
                          </a:blip>
                          <a:srcRect r="77172" b="62047"/>
                          <a:stretch/>
                        </pic:blipFill>
                        <pic:spPr>
                          <a:xfrm>
                            <a:off x="0" y="0"/>
                            <a:ext cx="628452" cy="732699"/>
                          </a:xfrm>
                          <a:prstGeom prst="rect">
                            <a:avLst/>
                          </a:prstGeom>
                        </pic:spPr>
                      </pic:pic>
                    </a:graphicData>
                  </a:graphic>
                </wp:inline>
              </w:drawing>
            </w:r>
          </w:p>
        </w:tc>
        <w:tc>
          <w:tcPr>
            <w:tcW w:w="7735" w:type="dxa"/>
            <w:tcBorders>
              <w:top w:val="nil"/>
              <w:left w:val="nil"/>
              <w:bottom w:val="nil"/>
              <w:right w:val="nil"/>
            </w:tcBorders>
          </w:tcPr>
          <w:p w:rsidR="00380DE5" w:rsidRPr="00A63DD3" w:rsidRDefault="00380DE5" w:rsidP="00245F07">
            <w:pPr>
              <w:rPr>
                <w:rFonts w:ascii="Arial" w:hAnsi="Arial" w:cs="Arial"/>
                <w:sz w:val="24"/>
                <w:szCs w:val="24"/>
              </w:rPr>
            </w:pPr>
          </w:p>
          <w:p w:rsidR="00A63DD3" w:rsidRDefault="00A63DD3" w:rsidP="00A63DD3">
            <w:pPr>
              <w:rPr>
                <w:rFonts w:ascii="Arial" w:hAnsi="Arial" w:cs="Arial"/>
                <w:sz w:val="24"/>
                <w:szCs w:val="24"/>
              </w:rPr>
            </w:pPr>
            <w:r w:rsidRPr="00A63DD3">
              <w:rPr>
                <w:rFonts w:ascii="Arial" w:eastAsia="Times New Roman" w:hAnsi="Arial" w:cs="Arial"/>
                <w:b/>
                <w:bCs/>
                <w:sz w:val="24"/>
                <w:szCs w:val="24"/>
                <w:lang w:eastAsia="en-CA"/>
              </w:rPr>
              <w:t>Marketing Public Library value and Impact</w:t>
            </w:r>
            <w:r w:rsidRPr="00A63DD3">
              <w:rPr>
                <w:rFonts w:ascii="Arial" w:hAnsi="Arial" w:cs="Arial"/>
                <w:sz w:val="24"/>
                <w:szCs w:val="24"/>
              </w:rPr>
              <w:t xml:space="preserve"> </w:t>
            </w:r>
          </w:p>
          <w:p w:rsidR="00380DE5" w:rsidRPr="00A63DD3" w:rsidRDefault="00E3055F" w:rsidP="00A63DD3">
            <w:pPr>
              <w:rPr>
                <w:rFonts w:ascii="Arial" w:hAnsi="Arial" w:cs="Arial"/>
                <w:sz w:val="24"/>
                <w:szCs w:val="24"/>
              </w:rPr>
            </w:pPr>
            <w:r>
              <w:rPr>
                <w:rFonts w:ascii="Arial" w:hAnsi="Arial" w:cs="Arial"/>
                <w:sz w:val="24"/>
                <w:szCs w:val="24"/>
              </w:rPr>
              <w:t>We are the ONLY place for all Ontario library metrics and can frame these in an impactful way.  We need to move this from a HQ activity to involve more members using OMD and the Stats Report as well as other studies.</w:t>
            </w:r>
          </w:p>
        </w:tc>
      </w:tr>
      <w:tr w:rsidR="00380DE5" w:rsidTr="00245F07">
        <w:tc>
          <w:tcPr>
            <w:tcW w:w="1615" w:type="dxa"/>
            <w:tcBorders>
              <w:top w:val="nil"/>
              <w:left w:val="nil"/>
              <w:bottom w:val="nil"/>
              <w:right w:val="nil"/>
            </w:tcBorders>
          </w:tcPr>
          <w:p w:rsidR="00380DE5" w:rsidRDefault="00380DE5" w:rsidP="00245F07">
            <w:r>
              <w:t xml:space="preserve"> </w:t>
            </w:r>
            <w:r w:rsidRPr="006842C5">
              <w:rPr>
                <w:noProof/>
                <w:lang w:eastAsia="en-CA"/>
              </w:rPr>
              <w:drawing>
                <wp:inline distT="0" distB="0" distL="0" distR="0" wp14:anchorId="0B7FDF24" wp14:editId="43A025E5">
                  <wp:extent cx="638175" cy="729858"/>
                  <wp:effectExtent l="0" t="0" r="0" b="0"/>
                  <wp:docPr id="5" name="Picture 3" descr="E is for Explore!: Math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 is for Explore!: Math Quest"/>
                          <pic:cNvPicPr>
                            <a:picLocks noChangeAspect="1"/>
                          </pic:cNvPicPr>
                        </pic:nvPicPr>
                        <pic:blipFill rotWithShape="1">
                          <a:blip r:embed="rId9" cstate="print">
                            <a:extLst>
                              <a:ext uri="{28A0092B-C50C-407E-A947-70E740481C1C}">
                                <a14:useLocalDpi xmlns:a14="http://schemas.microsoft.com/office/drawing/2010/main" val="0"/>
                              </a:ext>
                            </a:extLst>
                          </a:blip>
                          <a:srcRect l="25310" t="61084" r="50828" b="-1"/>
                          <a:stretch/>
                        </pic:blipFill>
                        <pic:spPr bwMode="auto">
                          <a:xfrm>
                            <a:off x="0" y="0"/>
                            <a:ext cx="657996" cy="752527"/>
                          </a:xfrm>
                          <a:prstGeom prst="rect">
                            <a:avLst/>
                          </a:prstGeom>
                          <a:ln>
                            <a:noFill/>
                          </a:ln>
                          <a:extLst>
                            <a:ext uri="{53640926-AAD7-44D8-BBD7-CCE9431645EC}">
                              <a14:shadowObscured xmlns:a14="http://schemas.microsoft.com/office/drawing/2010/main"/>
                            </a:ext>
                          </a:extLst>
                        </pic:spPr>
                      </pic:pic>
                    </a:graphicData>
                  </a:graphic>
                </wp:inline>
              </w:drawing>
            </w:r>
          </w:p>
        </w:tc>
        <w:tc>
          <w:tcPr>
            <w:tcW w:w="7735" w:type="dxa"/>
            <w:tcBorders>
              <w:top w:val="nil"/>
              <w:left w:val="nil"/>
              <w:bottom w:val="nil"/>
              <w:right w:val="nil"/>
            </w:tcBorders>
          </w:tcPr>
          <w:p w:rsidR="00380DE5" w:rsidRPr="00A63DD3" w:rsidRDefault="00380DE5" w:rsidP="00245F07">
            <w:pPr>
              <w:rPr>
                <w:rFonts w:ascii="Arial" w:hAnsi="Arial" w:cs="Arial"/>
                <w:sz w:val="24"/>
                <w:szCs w:val="24"/>
              </w:rPr>
            </w:pPr>
          </w:p>
          <w:p w:rsidR="00380DE5" w:rsidRDefault="00A63DD3" w:rsidP="00E3055F">
            <w:pPr>
              <w:spacing w:before="100" w:beforeAutospacing="1" w:after="100" w:afterAutospacing="1"/>
              <w:rPr>
                <w:rFonts w:ascii="Arial" w:eastAsia="Times New Roman" w:hAnsi="Arial" w:cs="Arial"/>
                <w:sz w:val="24"/>
                <w:szCs w:val="24"/>
                <w:lang w:eastAsia="en-CA"/>
              </w:rPr>
            </w:pPr>
            <w:r w:rsidRPr="00A63DD3">
              <w:rPr>
                <w:rFonts w:ascii="Arial" w:eastAsia="Times New Roman" w:hAnsi="Arial" w:cs="Arial"/>
                <w:b/>
                <w:bCs/>
                <w:sz w:val="24"/>
                <w:szCs w:val="24"/>
                <w:lang w:eastAsia="en-CA"/>
              </w:rPr>
              <w:t>People Capacity: Training &amp; Development</w:t>
            </w:r>
          </w:p>
          <w:p w:rsidR="00E3055F" w:rsidRPr="00E3055F" w:rsidRDefault="00E3055F" w:rsidP="00E3055F">
            <w:pPr>
              <w:spacing w:before="100" w:beforeAutospacing="1" w:after="100" w:afterAutospacing="1"/>
              <w:rPr>
                <w:rFonts w:ascii="Arial" w:eastAsia="Times New Roman" w:hAnsi="Arial" w:cs="Arial"/>
                <w:sz w:val="24"/>
                <w:szCs w:val="24"/>
                <w:lang w:eastAsia="en-CA"/>
              </w:rPr>
            </w:pPr>
            <w:r>
              <w:rPr>
                <w:rFonts w:ascii="Arial" w:eastAsia="Times New Roman" w:hAnsi="Arial" w:cs="Arial"/>
                <w:sz w:val="24"/>
                <w:szCs w:val="24"/>
                <w:lang w:eastAsia="en-CA"/>
              </w:rPr>
              <w:t>FOPL cannot do this alone and we must rely on building capacity in our membership.  We need to focus on leadership training and being there on a situational basis too.</w:t>
            </w:r>
          </w:p>
        </w:tc>
      </w:tr>
      <w:tr w:rsidR="00380DE5" w:rsidTr="00245F07">
        <w:tc>
          <w:tcPr>
            <w:tcW w:w="1615" w:type="dxa"/>
            <w:tcBorders>
              <w:top w:val="nil"/>
              <w:left w:val="nil"/>
              <w:bottom w:val="nil"/>
              <w:right w:val="nil"/>
            </w:tcBorders>
          </w:tcPr>
          <w:p w:rsidR="00380DE5" w:rsidRDefault="00380DE5" w:rsidP="00245F07">
            <w:r w:rsidRPr="006842C5">
              <w:rPr>
                <w:noProof/>
                <w:lang w:eastAsia="en-CA"/>
              </w:rPr>
              <w:drawing>
                <wp:inline distT="0" distB="0" distL="0" distR="0" wp14:anchorId="71DA9668" wp14:editId="69C91A46">
                  <wp:extent cx="723900" cy="771185"/>
                  <wp:effectExtent l="0" t="0" r="0" b="0"/>
                  <wp:docPr id="6" name="Picture 3" descr="E is for Explore!: Math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 is for Explore!: Math Quest"/>
                          <pic:cNvPicPr>
                            <a:picLocks noChangeAspect="1"/>
                          </pic:cNvPicPr>
                        </pic:nvPicPr>
                        <pic:blipFill rotWithShape="1">
                          <a:blip r:embed="rId10" cstate="print">
                            <a:extLst>
                              <a:ext uri="{28A0092B-C50C-407E-A947-70E740481C1C}">
                                <a14:useLocalDpi xmlns:a14="http://schemas.microsoft.com/office/drawing/2010/main" val="0"/>
                              </a:ext>
                            </a:extLst>
                          </a:blip>
                          <a:srcRect l="23241" r="51517" b="61654"/>
                          <a:stretch/>
                        </pic:blipFill>
                        <pic:spPr>
                          <a:xfrm>
                            <a:off x="0" y="0"/>
                            <a:ext cx="754513" cy="803797"/>
                          </a:xfrm>
                          <a:prstGeom prst="rect">
                            <a:avLst/>
                          </a:prstGeom>
                        </pic:spPr>
                      </pic:pic>
                    </a:graphicData>
                  </a:graphic>
                </wp:inline>
              </w:drawing>
            </w:r>
          </w:p>
        </w:tc>
        <w:tc>
          <w:tcPr>
            <w:tcW w:w="7735" w:type="dxa"/>
            <w:tcBorders>
              <w:top w:val="nil"/>
              <w:left w:val="nil"/>
              <w:bottom w:val="nil"/>
              <w:right w:val="nil"/>
            </w:tcBorders>
          </w:tcPr>
          <w:p w:rsidR="00380DE5" w:rsidRPr="00A63DD3" w:rsidRDefault="00380DE5" w:rsidP="00245F07">
            <w:pPr>
              <w:rPr>
                <w:rFonts w:ascii="Arial" w:hAnsi="Arial" w:cs="Arial"/>
                <w:b/>
                <w:sz w:val="24"/>
                <w:szCs w:val="24"/>
              </w:rPr>
            </w:pPr>
          </w:p>
          <w:p w:rsidR="00380DE5" w:rsidRDefault="00A63DD3" w:rsidP="00380DE5">
            <w:pPr>
              <w:rPr>
                <w:rFonts w:ascii="Arial" w:hAnsi="Arial" w:cs="Arial"/>
                <w:b/>
                <w:sz w:val="24"/>
                <w:szCs w:val="24"/>
              </w:rPr>
            </w:pPr>
            <w:r w:rsidRPr="00A63DD3">
              <w:rPr>
                <w:rFonts w:ascii="Arial" w:hAnsi="Arial" w:cs="Arial"/>
                <w:b/>
                <w:sz w:val="24"/>
                <w:szCs w:val="24"/>
              </w:rPr>
              <w:t>FOPL Sustainability</w:t>
            </w:r>
          </w:p>
          <w:p w:rsidR="00E3055F" w:rsidRPr="00E3055F" w:rsidRDefault="00E3055F" w:rsidP="00E3055F">
            <w:pPr>
              <w:rPr>
                <w:rFonts w:ascii="Arial" w:hAnsi="Arial" w:cs="Arial"/>
                <w:sz w:val="24"/>
                <w:szCs w:val="24"/>
              </w:rPr>
            </w:pPr>
            <w:r w:rsidRPr="00E3055F">
              <w:rPr>
                <w:rFonts w:ascii="Arial" w:hAnsi="Arial" w:cs="Arial"/>
                <w:sz w:val="24"/>
                <w:szCs w:val="24"/>
              </w:rPr>
              <w:t>FOPL must review its finances – specifically membership costs – with an eye to sustai</w:t>
            </w:r>
            <w:r>
              <w:rPr>
                <w:rFonts w:ascii="Arial" w:hAnsi="Arial" w:cs="Arial"/>
                <w:sz w:val="24"/>
                <w:szCs w:val="24"/>
              </w:rPr>
              <w:t>nability and approaching member</w:t>
            </w:r>
            <w:r w:rsidRPr="00E3055F">
              <w:rPr>
                <w:rFonts w:ascii="Arial" w:hAnsi="Arial" w:cs="Arial"/>
                <w:sz w:val="24"/>
                <w:szCs w:val="24"/>
              </w:rPr>
              <w:t xml:space="preserve"> comm</w:t>
            </w:r>
            <w:r>
              <w:rPr>
                <w:rFonts w:ascii="Arial" w:hAnsi="Arial" w:cs="Arial"/>
                <w:sz w:val="24"/>
                <w:szCs w:val="24"/>
              </w:rPr>
              <w:t>u</w:t>
            </w:r>
            <w:r w:rsidRPr="00E3055F">
              <w:rPr>
                <w:rFonts w:ascii="Arial" w:hAnsi="Arial" w:cs="Arial"/>
                <w:sz w:val="24"/>
                <w:szCs w:val="24"/>
              </w:rPr>
              <w:t>nication</w:t>
            </w:r>
            <w:r>
              <w:rPr>
                <w:rFonts w:ascii="Arial" w:hAnsi="Arial" w:cs="Arial"/>
                <w:sz w:val="24"/>
                <w:szCs w:val="24"/>
              </w:rPr>
              <w:t>s</w:t>
            </w:r>
            <w:r w:rsidRPr="00E3055F">
              <w:rPr>
                <w:rFonts w:ascii="Arial" w:hAnsi="Arial" w:cs="Arial"/>
                <w:sz w:val="24"/>
                <w:szCs w:val="24"/>
              </w:rPr>
              <w:t>.</w:t>
            </w:r>
          </w:p>
        </w:tc>
      </w:tr>
      <w:tr w:rsidR="00380DE5" w:rsidTr="00245F07">
        <w:tc>
          <w:tcPr>
            <w:tcW w:w="1615" w:type="dxa"/>
            <w:tcBorders>
              <w:top w:val="nil"/>
              <w:left w:val="nil"/>
              <w:bottom w:val="nil"/>
              <w:right w:val="nil"/>
            </w:tcBorders>
          </w:tcPr>
          <w:p w:rsidR="00380DE5" w:rsidRDefault="00380DE5" w:rsidP="00245F07">
            <w:r w:rsidRPr="006842C5">
              <w:rPr>
                <w:noProof/>
                <w:lang w:eastAsia="en-CA"/>
              </w:rPr>
              <w:drawing>
                <wp:inline distT="0" distB="0" distL="0" distR="0" wp14:anchorId="6301F16E" wp14:editId="5C97E86B">
                  <wp:extent cx="695325" cy="820298"/>
                  <wp:effectExtent l="0" t="0" r="0" b="0"/>
                  <wp:docPr id="7" name="Picture 3" descr="E is for Explore!: Math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 is for Explore!: Math Quest"/>
                          <pic:cNvPicPr>
                            <a:picLocks noChangeAspect="1"/>
                          </pic:cNvPicPr>
                        </pic:nvPicPr>
                        <pic:blipFill rotWithShape="1">
                          <a:blip r:embed="rId11" cstate="print">
                            <a:extLst>
                              <a:ext uri="{28A0092B-C50C-407E-A947-70E740481C1C}">
                                <a14:useLocalDpi xmlns:a14="http://schemas.microsoft.com/office/drawing/2010/main" val="0"/>
                              </a:ext>
                            </a:extLst>
                          </a:blip>
                          <a:srcRect l="50828" t="59392" r="25034"/>
                          <a:stretch/>
                        </pic:blipFill>
                        <pic:spPr>
                          <a:xfrm>
                            <a:off x="0" y="0"/>
                            <a:ext cx="712520" cy="840584"/>
                          </a:xfrm>
                          <a:prstGeom prst="rect">
                            <a:avLst/>
                          </a:prstGeom>
                        </pic:spPr>
                      </pic:pic>
                    </a:graphicData>
                  </a:graphic>
                </wp:inline>
              </w:drawing>
            </w:r>
          </w:p>
        </w:tc>
        <w:tc>
          <w:tcPr>
            <w:tcW w:w="7735" w:type="dxa"/>
            <w:tcBorders>
              <w:top w:val="nil"/>
              <w:left w:val="nil"/>
              <w:bottom w:val="nil"/>
              <w:right w:val="nil"/>
            </w:tcBorders>
          </w:tcPr>
          <w:p w:rsidR="00380DE5" w:rsidRPr="00183672" w:rsidRDefault="00380DE5" w:rsidP="00245F07">
            <w:pPr>
              <w:rPr>
                <w:rFonts w:ascii="Arial" w:hAnsi="Arial" w:cs="Arial"/>
                <w:sz w:val="24"/>
              </w:rPr>
            </w:pPr>
          </w:p>
          <w:p w:rsidR="00380DE5" w:rsidRPr="00183672" w:rsidRDefault="00380DE5" w:rsidP="00380DE5">
            <w:pPr>
              <w:rPr>
                <w:rFonts w:ascii="Arial" w:hAnsi="Arial" w:cs="Arial"/>
                <w:sz w:val="24"/>
              </w:rPr>
            </w:pPr>
            <w:r w:rsidRPr="00A63DD3">
              <w:rPr>
                <w:rFonts w:ascii="Arial" w:hAnsi="Arial" w:cs="Arial"/>
                <w:b/>
                <w:sz w:val="24"/>
              </w:rPr>
              <w:t>Optional fifth goal at Board’s discretion</w:t>
            </w:r>
            <w:r w:rsidR="00A63DD3">
              <w:rPr>
                <w:rFonts w:ascii="Arial" w:hAnsi="Arial" w:cs="Arial"/>
                <w:sz w:val="24"/>
              </w:rPr>
              <w:t xml:space="preserve"> (not recommended)</w:t>
            </w:r>
          </w:p>
        </w:tc>
      </w:tr>
    </w:tbl>
    <w:p w:rsidR="00CA693E" w:rsidRDefault="00CA693E" w:rsidP="000925FA">
      <w:pPr>
        <w:pStyle w:val="Default"/>
        <w:rPr>
          <w:bCs/>
          <w:sz w:val="23"/>
          <w:szCs w:val="23"/>
        </w:rPr>
      </w:pPr>
    </w:p>
    <w:p w:rsidR="00E3055F" w:rsidRDefault="00E3055F">
      <w:pPr>
        <w:rPr>
          <w:rFonts w:ascii="Arial" w:hAnsi="Arial" w:cs="Arial"/>
          <w:bCs/>
          <w:color w:val="000000"/>
          <w:sz w:val="23"/>
          <w:szCs w:val="23"/>
        </w:rPr>
      </w:pPr>
      <w:r>
        <w:rPr>
          <w:bCs/>
          <w:sz w:val="23"/>
          <w:szCs w:val="23"/>
        </w:rPr>
        <w:br w:type="page"/>
      </w:r>
    </w:p>
    <w:p w:rsidR="00CA693E" w:rsidRPr="00E3055F" w:rsidRDefault="00380DE5" w:rsidP="000925FA">
      <w:pPr>
        <w:pStyle w:val="Default"/>
        <w:rPr>
          <w:b/>
          <w:bCs/>
          <w:szCs w:val="23"/>
        </w:rPr>
      </w:pPr>
      <w:r w:rsidRPr="00E3055F">
        <w:rPr>
          <w:b/>
          <w:bCs/>
          <w:szCs w:val="23"/>
        </w:rPr>
        <w:lastRenderedPageBreak/>
        <w:t>Details:</w:t>
      </w:r>
    </w:p>
    <w:p w:rsidR="00380DE5" w:rsidRPr="00E3055F" w:rsidRDefault="00380DE5" w:rsidP="000925FA">
      <w:pPr>
        <w:pStyle w:val="Default"/>
        <w:rPr>
          <w:bCs/>
          <w:szCs w:val="23"/>
        </w:rPr>
      </w:pPr>
    </w:p>
    <w:p w:rsidR="00380DE5" w:rsidRPr="00E3055F" w:rsidRDefault="00380DE5" w:rsidP="000925FA">
      <w:pPr>
        <w:pStyle w:val="Default"/>
        <w:rPr>
          <w:bCs/>
          <w:szCs w:val="23"/>
        </w:rPr>
      </w:pPr>
      <w:r w:rsidRPr="00E3055F">
        <w:rPr>
          <w:bCs/>
          <w:szCs w:val="23"/>
        </w:rPr>
        <w:t xml:space="preserve">Although we don’t know what 2020 will bring in our sector (and from all fronts), </w:t>
      </w:r>
      <w:r w:rsidR="00A63DD3" w:rsidRPr="00E3055F">
        <w:rPr>
          <w:bCs/>
          <w:szCs w:val="23"/>
        </w:rPr>
        <w:t>we do need to remain flexible and use our resources wisely to make a difference in our sector.  In large part this means:</w:t>
      </w:r>
    </w:p>
    <w:p w:rsidR="00A63DD3" w:rsidRDefault="00A63DD3" w:rsidP="000925FA">
      <w:pPr>
        <w:pStyle w:val="Default"/>
        <w:rPr>
          <w:bCs/>
          <w:sz w:val="23"/>
          <w:szCs w:val="23"/>
        </w:rPr>
      </w:pPr>
    </w:p>
    <w:p w:rsidR="00A63DD3" w:rsidRDefault="00A63DD3" w:rsidP="00A63DD3">
      <w:pPr>
        <w:pStyle w:val="Default"/>
        <w:numPr>
          <w:ilvl w:val="0"/>
          <w:numId w:val="20"/>
        </w:numPr>
        <w:rPr>
          <w:bCs/>
          <w:sz w:val="23"/>
          <w:szCs w:val="23"/>
        </w:rPr>
      </w:pPr>
      <w:r>
        <w:rPr>
          <w:bCs/>
          <w:sz w:val="23"/>
          <w:szCs w:val="23"/>
        </w:rPr>
        <w:t>Empowering Our Members</w:t>
      </w:r>
    </w:p>
    <w:p w:rsidR="00A63DD3" w:rsidRDefault="00A63DD3" w:rsidP="00A63DD3">
      <w:pPr>
        <w:pStyle w:val="Default"/>
        <w:numPr>
          <w:ilvl w:val="0"/>
          <w:numId w:val="20"/>
        </w:numPr>
        <w:rPr>
          <w:bCs/>
          <w:sz w:val="23"/>
          <w:szCs w:val="23"/>
        </w:rPr>
      </w:pPr>
      <w:r>
        <w:rPr>
          <w:bCs/>
          <w:sz w:val="23"/>
          <w:szCs w:val="23"/>
        </w:rPr>
        <w:t>Informing Our Members</w:t>
      </w:r>
    </w:p>
    <w:p w:rsidR="00A63DD3" w:rsidRDefault="00A63DD3" w:rsidP="00A63DD3">
      <w:pPr>
        <w:pStyle w:val="Default"/>
        <w:numPr>
          <w:ilvl w:val="0"/>
          <w:numId w:val="20"/>
        </w:numPr>
        <w:rPr>
          <w:bCs/>
          <w:sz w:val="23"/>
          <w:szCs w:val="23"/>
        </w:rPr>
      </w:pPr>
      <w:r>
        <w:rPr>
          <w:bCs/>
          <w:sz w:val="23"/>
          <w:szCs w:val="23"/>
        </w:rPr>
        <w:t>Communicating with Our Members</w:t>
      </w:r>
    </w:p>
    <w:p w:rsidR="00A63DD3" w:rsidRDefault="00A63DD3" w:rsidP="00A63DD3">
      <w:pPr>
        <w:pStyle w:val="Default"/>
        <w:numPr>
          <w:ilvl w:val="0"/>
          <w:numId w:val="20"/>
        </w:numPr>
        <w:rPr>
          <w:bCs/>
          <w:sz w:val="23"/>
          <w:szCs w:val="23"/>
        </w:rPr>
      </w:pPr>
      <w:r>
        <w:rPr>
          <w:bCs/>
          <w:sz w:val="23"/>
          <w:szCs w:val="23"/>
        </w:rPr>
        <w:t xml:space="preserve">Maintaining Good Relationships with the Government </w:t>
      </w:r>
    </w:p>
    <w:tbl>
      <w:tblPr>
        <w:tblStyle w:val="TableGrid"/>
        <w:tblW w:w="0" w:type="auto"/>
        <w:tblLook w:val="04A0" w:firstRow="1" w:lastRow="0" w:firstColumn="1" w:lastColumn="0" w:noHBand="0" w:noVBand="1"/>
      </w:tblPr>
      <w:tblGrid>
        <w:gridCol w:w="7735"/>
      </w:tblGrid>
      <w:tr w:rsidR="00A63DD3" w:rsidRPr="00A63DD3" w:rsidTr="00245F07">
        <w:tc>
          <w:tcPr>
            <w:tcW w:w="7735" w:type="dxa"/>
            <w:tcBorders>
              <w:top w:val="nil"/>
              <w:left w:val="nil"/>
              <w:bottom w:val="nil"/>
              <w:right w:val="nil"/>
            </w:tcBorders>
          </w:tcPr>
          <w:p w:rsidR="00A63DD3" w:rsidRPr="00A63DD3" w:rsidRDefault="00A63DD3" w:rsidP="00A63DD3">
            <w:pPr>
              <w:jc w:val="center"/>
              <w:rPr>
                <w:rFonts w:ascii="Arial" w:hAnsi="Arial" w:cs="Arial"/>
                <w:sz w:val="24"/>
                <w:szCs w:val="24"/>
              </w:rPr>
            </w:pPr>
          </w:p>
          <w:p w:rsidR="00A63DD3" w:rsidRPr="00A63DD3" w:rsidRDefault="00A63DD3" w:rsidP="00A63DD3">
            <w:pPr>
              <w:pStyle w:val="Default"/>
              <w:rPr>
                <w:b/>
                <w:bCs/>
              </w:rPr>
            </w:pPr>
            <w:r w:rsidRPr="00A63DD3">
              <w:rPr>
                <w:b/>
                <w:bCs/>
              </w:rPr>
              <w:t>Advocacy &amp; Influence</w:t>
            </w:r>
          </w:p>
          <w:p w:rsidR="00A63DD3" w:rsidRDefault="00A63DD3" w:rsidP="00A63DD3">
            <w:pPr>
              <w:rPr>
                <w:rFonts w:ascii="Arial" w:hAnsi="Arial" w:cs="Arial"/>
                <w:sz w:val="24"/>
                <w:szCs w:val="24"/>
              </w:rPr>
            </w:pPr>
          </w:p>
          <w:p w:rsidR="00A63DD3" w:rsidRDefault="00A63DD3" w:rsidP="00A63DD3">
            <w:pPr>
              <w:pStyle w:val="ListParagraph"/>
              <w:numPr>
                <w:ilvl w:val="0"/>
                <w:numId w:val="21"/>
              </w:numPr>
              <w:rPr>
                <w:rFonts w:ascii="Arial" w:hAnsi="Arial" w:cs="Arial"/>
                <w:sz w:val="24"/>
                <w:szCs w:val="24"/>
              </w:rPr>
            </w:pPr>
            <w:r>
              <w:rPr>
                <w:rFonts w:ascii="Arial" w:hAnsi="Arial" w:cs="Arial"/>
                <w:sz w:val="24"/>
                <w:szCs w:val="24"/>
              </w:rPr>
              <w:t>Continue to partner with OLA (and involve other Ontario associations) to speak with one voice</w:t>
            </w:r>
          </w:p>
          <w:p w:rsidR="00A63DD3" w:rsidRDefault="00A63DD3" w:rsidP="00A63DD3">
            <w:pPr>
              <w:pStyle w:val="ListParagraph"/>
              <w:numPr>
                <w:ilvl w:val="0"/>
                <w:numId w:val="21"/>
              </w:numPr>
              <w:rPr>
                <w:rFonts w:ascii="Arial" w:hAnsi="Arial" w:cs="Arial"/>
                <w:sz w:val="24"/>
                <w:szCs w:val="24"/>
              </w:rPr>
            </w:pPr>
            <w:r>
              <w:rPr>
                <w:rFonts w:ascii="Arial" w:hAnsi="Arial" w:cs="Arial"/>
                <w:sz w:val="24"/>
                <w:szCs w:val="24"/>
              </w:rPr>
              <w:t>Continue to work with our professional government relations counsel.</w:t>
            </w:r>
          </w:p>
          <w:p w:rsidR="00A63DD3" w:rsidRDefault="00A63DD3" w:rsidP="00A63DD3">
            <w:pPr>
              <w:pStyle w:val="ListParagraph"/>
              <w:numPr>
                <w:ilvl w:val="0"/>
                <w:numId w:val="21"/>
              </w:numPr>
              <w:rPr>
                <w:rFonts w:ascii="Arial" w:hAnsi="Arial" w:cs="Arial"/>
                <w:sz w:val="24"/>
                <w:szCs w:val="24"/>
              </w:rPr>
            </w:pPr>
            <w:r>
              <w:rPr>
                <w:rFonts w:ascii="Arial" w:hAnsi="Arial" w:cs="Arial"/>
                <w:sz w:val="24"/>
                <w:szCs w:val="24"/>
              </w:rPr>
              <w:t>Continue to partner with CFLA to address national issues.</w:t>
            </w:r>
          </w:p>
          <w:p w:rsidR="00A63DD3" w:rsidRDefault="00A63DD3" w:rsidP="00A63DD3">
            <w:pPr>
              <w:pStyle w:val="ListParagraph"/>
              <w:numPr>
                <w:ilvl w:val="0"/>
                <w:numId w:val="21"/>
              </w:numPr>
              <w:rPr>
                <w:rFonts w:ascii="Arial" w:hAnsi="Arial" w:cs="Arial"/>
                <w:sz w:val="24"/>
                <w:szCs w:val="24"/>
              </w:rPr>
            </w:pPr>
            <w:r>
              <w:rPr>
                <w:rFonts w:ascii="Arial" w:hAnsi="Arial" w:cs="Arial"/>
                <w:sz w:val="24"/>
                <w:szCs w:val="24"/>
              </w:rPr>
              <w:t>Continue to scan policy and legislation – Be at the Table!</w:t>
            </w:r>
          </w:p>
          <w:p w:rsidR="00AA2D48" w:rsidRPr="00A63DD3" w:rsidRDefault="00AA2D48" w:rsidP="00A63DD3">
            <w:pPr>
              <w:pStyle w:val="ListParagraph"/>
              <w:numPr>
                <w:ilvl w:val="0"/>
                <w:numId w:val="21"/>
              </w:numPr>
              <w:rPr>
                <w:rFonts w:ascii="Arial" w:hAnsi="Arial" w:cs="Arial"/>
                <w:sz w:val="24"/>
                <w:szCs w:val="24"/>
              </w:rPr>
            </w:pPr>
            <w:r>
              <w:rPr>
                <w:rFonts w:ascii="Arial" w:hAnsi="Arial" w:cs="Arial"/>
                <w:sz w:val="24"/>
                <w:szCs w:val="24"/>
              </w:rPr>
              <w:t>Create a Government Relations priorities list.</w:t>
            </w:r>
          </w:p>
        </w:tc>
      </w:tr>
      <w:tr w:rsidR="00A63DD3" w:rsidRPr="00A63DD3" w:rsidTr="00245F07">
        <w:tc>
          <w:tcPr>
            <w:tcW w:w="7735" w:type="dxa"/>
            <w:tcBorders>
              <w:top w:val="nil"/>
              <w:left w:val="nil"/>
              <w:bottom w:val="nil"/>
              <w:right w:val="nil"/>
            </w:tcBorders>
          </w:tcPr>
          <w:p w:rsidR="00A63DD3" w:rsidRPr="00A63DD3" w:rsidRDefault="00A63DD3" w:rsidP="00245F07">
            <w:pPr>
              <w:rPr>
                <w:rFonts w:ascii="Arial" w:hAnsi="Arial" w:cs="Arial"/>
                <w:sz w:val="24"/>
                <w:szCs w:val="24"/>
              </w:rPr>
            </w:pPr>
          </w:p>
          <w:p w:rsidR="00A63DD3" w:rsidRDefault="00A63DD3" w:rsidP="00245F07">
            <w:pPr>
              <w:rPr>
                <w:rFonts w:ascii="Arial" w:hAnsi="Arial" w:cs="Arial"/>
                <w:sz w:val="24"/>
                <w:szCs w:val="24"/>
              </w:rPr>
            </w:pPr>
            <w:r w:rsidRPr="00A63DD3">
              <w:rPr>
                <w:rFonts w:ascii="Arial" w:eastAsia="Times New Roman" w:hAnsi="Arial" w:cs="Arial"/>
                <w:b/>
                <w:bCs/>
                <w:sz w:val="24"/>
                <w:szCs w:val="24"/>
                <w:lang w:eastAsia="en-CA"/>
              </w:rPr>
              <w:t>Marketing Public Library value and Impact</w:t>
            </w:r>
            <w:r w:rsidRPr="00A63DD3">
              <w:rPr>
                <w:rFonts w:ascii="Arial" w:hAnsi="Arial" w:cs="Arial"/>
                <w:sz w:val="24"/>
                <w:szCs w:val="24"/>
              </w:rPr>
              <w:t xml:space="preserve"> </w:t>
            </w:r>
          </w:p>
          <w:p w:rsidR="00A63DD3" w:rsidRPr="00A63DD3" w:rsidRDefault="00A63DD3" w:rsidP="00245F07">
            <w:pPr>
              <w:rPr>
                <w:rFonts w:ascii="Arial" w:hAnsi="Arial" w:cs="Arial"/>
                <w:sz w:val="24"/>
                <w:szCs w:val="24"/>
              </w:rPr>
            </w:pPr>
            <w:r w:rsidRPr="00A63DD3">
              <w:rPr>
                <w:rFonts w:ascii="Arial" w:hAnsi="Arial" w:cs="Arial"/>
                <w:sz w:val="24"/>
                <w:szCs w:val="24"/>
              </w:rPr>
              <w:t xml:space="preserve"> </w:t>
            </w:r>
          </w:p>
        </w:tc>
      </w:tr>
      <w:tr w:rsidR="00A63DD3" w:rsidRPr="00A63DD3" w:rsidTr="00245F07">
        <w:tc>
          <w:tcPr>
            <w:tcW w:w="7735" w:type="dxa"/>
            <w:tcBorders>
              <w:top w:val="nil"/>
              <w:left w:val="nil"/>
              <w:bottom w:val="nil"/>
              <w:right w:val="nil"/>
            </w:tcBorders>
          </w:tcPr>
          <w:p w:rsidR="00A63DD3" w:rsidRDefault="00A63DD3" w:rsidP="00A63DD3">
            <w:pPr>
              <w:pStyle w:val="ListParagraph"/>
              <w:numPr>
                <w:ilvl w:val="0"/>
                <w:numId w:val="22"/>
              </w:numPr>
              <w:rPr>
                <w:rFonts w:ascii="Arial" w:hAnsi="Arial" w:cs="Arial"/>
                <w:sz w:val="24"/>
                <w:szCs w:val="24"/>
              </w:rPr>
            </w:pPr>
            <w:r>
              <w:rPr>
                <w:rFonts w:ascii="Arial" w:hAnsi="Arial" w:cs="Arial"/>
                <w:sz w:val="24"/>
                <w:szCs w:val="24"/>
              </w:rPr>
              <w:t>Bring the OMD project in house – as planned – and build on this success.</w:t>
            </w:r>
          </w:p>
          <w:p w:rsidR="00A63DD3" w:rsidRDefault="00E3055F" w:rsidP="00A63DD3">
            <w:pPr>
              <w:pStyle w:val="ListParagraph"/>
              <w:numPr>
                <w:ilvl w:val="0"/>
                <w:numId w:val="22"/>
              </w:numPr>
              <w:rPr>
                <w:rFonts w:ascii="Arial" w:hAnsi="Arial" w:cs="Arial"/>
                <w:sz w:val="24"/>
                <w:szCs w:val="24"/>
              </w:rPr>
            </w:pPr>
            <w:r>
              <w:rPr>
                <w:rFonts w:ascii="Arial" w:hAnsi="Arial" w:cs="Arial"/>
                <w:sz w:val="24"/>
                <w:szCs w:val="24"/>
              </w:rPr>
              <w:t>Publish and promote the analytics and Impact assessments we have through the statistics and metrics work we’ve done.</w:t>
            </w:r>
          </w:p>
          <w:p w:rsidR="00E3055F" w:rsidRPr="00A63DD3" w:rsidRDefault="00E3055F" w:rsidP="00A63DD3">
            <w:pPr>
              <w:pStyle w:val="ListParagraph"/>
              <w:numPr>
                <w:ilvl w:val="0"/>
                <w:numId w:val="22"/>
              </w:numPr>
              <w:rPr>
                <w:rFonts w:ascii="Arial" w:hAnsi="Arial" w:cs="Arial"/>
                <w:sz w:val="24"/>
                <w:szCs w:val="24"/>
              </w:rPr>
            </w:pPr>
            <w:r>
              <w:rPr>
                <w:rFonts w:ascii="Arial" w:hAnsi="Arial" w:cs="Arial"/>
                <w:sz w:val="24"/>
                <w:szCs w:val="24"/>
              </w:rPr>
              <w:t>Use our social media effectively.</w:t>
            </w:r>
          </w:p>
          <w:p w:rsidR="00A63DD3" w:rsidRPr="00A63DD3" w:rsidRDefault="00A63DD3" w:rsidP="00245F07">
            <w:pPr>
              <w:spacing w:before="100" w:beforeAutospacing="1" w:after="100" w:afterAutospacing="1"/>
              <w:rPr>
                <w:rFonts w:ascii="Arial" w:eastAsia="Times New Roman" w:hAnsi="Arial" w:cs="Arial"/>
                <w:sz w:val="24"/>
                <w:szCs w:val="24"/>
                <w:lang w:eastAsia="en-CA"/>
              </w:rPr>
            </w:pPr>
            <w:r w:rsidRPr="00A63DD3">
              <w:rPr>
                <w:rFonts w:ascii="Arial" w:eastAsia="Times New Roman" w:hAnsi="Arial" w:cs="Arial"/>
                <w:b/>
                <w:bCs/>
                <w:sz w:val="24"/>
                <w:szCs w:val="24"/>
                <w:lang w:eastAsia="en-CA"/>
              </w:rPr>
              <w:t>People Capacity: Training &amp; Development</w:t>
            </w:r>
          </w:p>
          <w:p w:rsidR="00A63DD3" w:rsidRDefault="00E3055F" w:rsidP="00E3055F">
            <w:pPr>
              <w:pStyle w:val="ListParagraph"/>
              <w:numPr>
                <w:ilvl w:val="0"/>
                <w:numId w:val="23"/>
              </w:numPr>
              <w:rPr>
                <w:rFonts w:ascii="Arial" w:hAnsi="Arial" w:cs="Arial"/>
                <w:sz w:val="24"/>
                <w:szCs w:val="24"/>
              </w:rPr>
            </w:pPr>
            <w:r>
              <w:rPr>
                <w:rFonts w:ascii="Arial" w:hAnsi="Arial" w:cs="Arial"/>
                <w:sz w:val="24"/>
                <w:szCs w:val="24"/>
              </w:rPr>
              <w:t>Specifically build capacity ion 2020 to address local government and their DC/CBC bylaws.</w:t>
            </w:r>
          </w:p>
          <w:p w:rsidR="00E3055F" w:rsidRDefault="00E3055F" w:rsidP="00E3055F">
            <w:pPr>
              <w:pStyle w:val="ListParagraph"/>
              <w:numPr>
                <w:ilvl w:val="0"/>
                <w:numId w:val="23"/>
              </w:numPr>
              <w:rPr>
                <w:rFonts w:ascii="Arial" w:hAnsi="Arial" w:cs="Arial"/>
                <w:sz w:val="24"/>
                <w:szCs w:val="24"/>
              </w:rPr>
            </w:pPr>
            <w:r>
              <w:rPr>
                <w:rFonts w:ascii="Arial" w:hAnsi="Arial" w:cs="Arial"/>
                <w:sz w:val="24"/>
                <w:szCs w:val="24"/>
              </w:rPr>
              <w:t>Continue to offer influence support and training to our members.</w:t>
            </w:r>
          </w:p>
          <w:p w:rsidR="00E3055F" w:rsidRPr="00E3055F" w:rsidRDefault="00E3055F" w:rsidP="00E3055F">
            <w:pPr>
              <w:pStyle w:val="ListParagraph"/>
              <w:numPr>
                <w:ilvl w:val="0"/>
                <w:numId w:val="23"/>
              </w:numPr>
              <w:rPr>
                <w:rFonts w:ascii="Arial" w:hAnsi="Arial" w:cs="Arial"/>
                <w:sz w:val="24"/>
                <w:szCs w:val="24"/>
              </w:rPr>
            </w:pPr>
            <w:r>
              <w:rPr>
                <w:rFonts w:ascii="Arial" w:hAnsi="Arial" w:cs="Arial"/>
                <w:sz w:val="24"/>
                <w:szCs w:val="24"/>
              </w:rPr>
              <w:t>Partner with SOLS/OLS-North on Learn HQ, Governance Hub and PeerHQ.</w:t>
            </w:r>
          </w:p>
        </w:tc>
      </w:tr>
      <w:tr w:rsidR="00A63DD3" w:rsidRPr="00E3055F" w:rsidTr="00245F07">
        <w:tc>
          <w:tcPr>
            <w:tcW w:w="7735" w:type="dxa"/>
            <w:tcBorders>
              <w:top w:val="nil"/>
              <w:left w:val="nil"/>
              <w:bottom w:val="nil"/>
              <w:right w:val="nil"/>
            </w:tcBorders>
          </w:tcPr>
          <w:p w:rsidR="00A63DD3" w:rsidRPr="00E3055F" w:rsidRDefault="00A63DD3" w:rsidP="00245F07">
            <w:pPr>
              <w:rPr>
                <w:rFonts w:ascii="Arial" w:hAnsi="Arial" w:cs="Arial"/>
                <w:b/>
                <w:sz w:val="24"/>
                <w:szCs w:val="24"/>
              </w:rPr>
            </w:pPr>
          </w:p>
          <w:p w:rsidR="00A63DD3" w:rsidRPr="00E3055F" w:rsidRDefault="00A63DD3" w:rsidP="00245F07">
            <w:pPr>
              <w:rPr>
                <w:rFonts w:ascii="Arial" w:hAnsi="Arial" w:cs="Arial"/>
                <w:b/>
                <w:sz w:val="24"/>
                <w:szCs w:val="24"/>
              </w:rPr>
            </w:pPr>
            <w:r w:rsidRPr="00E3055F">
              <w:rPr>
                <w:rFonts w:ascii="Arial" w:hAnsi="Arial" w:cs="Arial"/>
                <w:b/>
                <w:sz w:val="24"/>
                <w:szCs w:val="24"/>
              </w:rPr>
              <w:t>FOPL Sustainability</w:t>
            </w:r>
          </w:p>
        </w:tc>
      </w:tr>
    </w:tbl>
    <w:p w:rsidR="00CA693E" w:rsidRPr="00E3055F" w:rsidRDefault="00CA693E" w:rsidP="000925FA">
      <w:pPr>
        <w:pStyle w:val="Default"/>
        <w:rPr>
          <w:bCs/>
        </w:rPr>
      </w:pPr>
    </w:p>
    <w:p w:rsidR="00CA693E" w:rsidRPr="00E3055F" w:rsidRDefault="00E3055F" w:rsidP="00E3055F">
      <w:pPr>
        <w:pStyle w:val="Default"/>
        <w:numPr>
          <w:ilvl w:val="0"/>
          <w:numId w:val="24"/>
        </w:numPr>
        <w:rPr>
          <w:bCs/>
        </w:rPr>
      </w:pPr>
      <w:r w:rsidRPr="00E3055F">
        <w:rPr>
          <w:bCs/>
        </w:rPr>
        <w:t>Address our pricing for membership since it has never been changed over the course of FOPL’s lifespan.</w:t>
      </w:r>
    </w:p>
    <w:p w:rsidR="00AC532C" w:rsidRPr="00E3055F" w:rsidRDefault="00AC532C" w:rsidP="000925FA">
      <w:pPr>
        <w:pStyle w:val="Default"/>
        <w:rPr>
          <w:b/>
          <w:bCs/>
        </w:rPr>
      </w:pPr>
    </w:p>
    <w:p w:rsidR="000925FA" w:rsidRPr="00E3055F" w:rsidRDefault="000925FA" w:rsidP="000925FA">
      <w:pPr>
        <w:pStyle w:val="Default"/>
      </w:pPr>
      <w:r w:rsidRPr="00E3055F">
        <w:rPr>
          <w:b/>
          <w:bCs/>
        </w:rPr>
        <w:t xml:space="preserve">Recommendation: </w:t>
      </w:r>
    </w:p>
    <w:p w:rsidR="00D64CCA" w:rsidRDefault="000925FA" w:rsidP="00E64D7D">
      <w:pPr>
        <w:pStyle w:val="Default"/>
        <w:rPr>
          <w:b/>
          <w:bCs/>
          <w:sz w:val="23"/>
          <w:szCs w:val="23"/>
        </w:rPr>
      </w:pPr>
      <w:r w:rsidRPr="00E3055F">
        <w:t>It is recommended that</w:t>
      </w:r>
      <w:r w:rsidR="00E64D7D" w:rsidRPr="00E3055F">
        <w:t xml:space="preserve"> the Federation of Ontario Public Libraries Board</w:t>
      </w:r>
      <w:r w:rsidR="00E3055F" w:rsidRPr="00E3055F">
        <w:t xml:space="preserve"> adopt these goals (as discussed and amended)</w:t>
      </w:r>
      <w:r w:rsidR="00E3055F">
        <w:t>.</w:t>
      </w:r>
      <w:bookmarkStart w:id="0" w:name="_GoBack"/>
      <w:bookmarkEnd w:id="0"/>
    </w:p>
    <w:sectPr w:rsidR="00D6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307"/>
    <w:multiLevelType w:val="hybridMultilevel"/>
    <w:tmpl w:val="8B408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AB4BEE"/>
    <w:multiLevelType w:val="hybridMultilevel"/>
    <w:tmpl w:val="3D9A9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2B0B83"/>
    <w:multiLevelType w:val="hybridMultilevel"/>
    <w:tmpl w:val="8F149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AA6339"/>
    <w:multiLevelType w:val="hybridMultilevel"/>
    <w:tmpl w:val="BC628A8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EBC5C44"/>
    <w:multiLevelType w:val="hybridMultilevel"/>
    <w:tmpl w:val="CDFE3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D32C38"/>
    <w:multiLevelType w:val="hybridMultilevel"/>
    <w:tmpl w:val="4A92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4C1E38"/>
    <w:multiLevelType w:val="multilevel"/>
    <w:tmpl w:val="16B2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901F8"/>
    <w:multiLevelType w:val="hybridMultilevel"/>
    <w:tmpl w:val="DCB49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167303"/>
    <w:multiLevelType w:val="hybridMultilevel"/>
    <w:tmpl w:val="2C088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3770B2"/>
    <w:multiLevelType w:val="multilevel"/>
    <w:tmpl w:val="6D50F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11D27"/>
    <w:multiLevelType w:val="hybridMultilevel"/>
    <w:tmpl w:val="2D98A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A81D3B"/>
    <w:multiLevelType w:val="hybridMultilevel"/>
    <w:tmpl w:val="3356B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687221"/>
    <w:multiLevelType w:val="multilevel"/>
    <w:tmpl w:val="138A11A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578CF"/>
    <w:multiLevelType w:val="multilevel"/>
    <w:tmpl w:val="138A11A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9147B"/>
    <w:multiLevelType w:val="hybridMultilevel"/>
    <w:tmpl w:val="DD76A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FA5515"/>
    <w:multiLevelType w:val="hybridMultilevel"/>
    <w:tmpl w:val="7AB63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7E79A6"/>
    <w:multiLevelType w:val="multilevel"/>
    <w:tmpl w:val="51FE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2C6CAF"/>
    <w:multiLevelType w:val="hybridMultilevel"/>
    <w:tmpl w:val="6DA26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9A7DBC"/>
    <w:multiLevelType w:val="hybridMultilevel"/>
    <w:tmpl w:val="F168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F8407A"/>
    <w:multiLevelType w:val="multilevel"/>
    <w:tmpl w:val="138A11A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0B6733"/>
    <w:multiLevelType w:val="hybridMultilevel"/>
    <w:tmpl w:val="6784A388"/>
    <w:lvl w:ilvl="0" w:tplc="1EA27E9A">
      <w:start w:val="1"/>
      <w:numFmt w:val="decimal"/>
      <w:lvlText w:val="%1."/>
      <w:lvlJc w:val="left"/>
      <w:pPr>
        <w:ind w:left="780" w:hanging="360"/>
      </w:pPr>
      <w:rPr>
        <w:b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1" w15:restartNumberingAfterBreak="0">
    <w:nsid w:val="735E2E6D"/>
    <w:multiLevelType w:val="hybridMultilevel"/>
    <w:tmpl w:val="C0B2F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6E1A31"/>
    <w:multiLevelType w:val="multilevel"/>
    <w:tmpl w:val="15E4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4F65AF"/>
    <w:multiLevelType w:val="hybridMultilevel"/>
    <w:tmpl w:val="9424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4"/>
  </w:num>
  <w:num w:numId="5">
    <w:abstractNumId w:val="1"/>
  </w:num>
  <w:num w:numId="6">
    <w:abstractNumId w:val="11"/>
  </w:num>
  <w:num w:numId="7">
    <w:abstractNumId w:val="18"/>
  </w:num>
  <w:num w:numId="8">
    <w:abstractNumId w:val="23"/>
  </w:num>
  <w:num w:numId="9">
    <w:abstractNumId w:val="21"/>
  </w:num>
  <w:num w:numId="10">
    <w:abstractNumId w:val="2"/>
  </w:num>
  <w:num w:numId="11">
    <w:abstractNumId w:val="20"/>
  </w:num>
  <w:num w:numId="12">
    <w:abstractNumId w:val="3"/>
  </w:num>
  <w:num w:numId="13">
    <w:abstractNumId w:val="6"/>
  </w:num>
  <w:num w:numId="14">
    <w:abstractNumId w:val="16"/>
  </w:num>
  <w:num w:numId="15">
    <w:abstractNumId w:val="22"/>
  </w:num>
  <w:num w:numId="16">
    <w:abstractNumId w:val="9"/>
  </w:num>
  <w:num w:numId="17">
    <w:abstractNumId w:val="13"/>
  </w:num>
  <w:num w:numId="18">
    <w:abstractNumId w:val="19"/>
  </w:num>
  <w:num w:numId="19">
    <w:abstractNumId w:val="12"/>
  </w:num>
  <w:num w:numId="20">
    <w:abstractNumId w:val="14"/>
  </w:num>
  <w:num w:numId="21">
    <w:abstractNumId w:val="8"/>
  </w:num>
  <w:num w:numId="22">
    <w:abstractNumId w:val="0"/>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FA"/>
    <w:rsid w:val="000057B8"/>
    <w:rsid w:val="00006CD3"/>
    <w:rsid w:val="0001131A"/>
    <w:rsid w:val="00013CC6"/>
    <w:rsid w:val="000366FD"/>
    <w:rsid w:val="000419AB"/>
    <w:rsid w:val="00047FEC"/>
    <w:rsid w:val="0007383F"/>
    <w:rsid w:val="00083F52"/>
    <w:rsid w:val="000925FA"/>
    <w:rsid w:val="00094DF6"/>
    <w:rsid w:val="000B28E3"/>
    <w:rsid w:val="000B5E59"/>
    <w:rsid w:val="000C04C8"/>
    <w:rsid w:val="000D7D21"/>
    <w:rsid w:val="000E2301"/>
    <w:rsid w:val="000E4862"/>
    <w:rsid w:val="000F103D"/>
    <w:rsid w:val="000F61D5"/>
    <w:rsid w:val="00102A73"/>
    <w:rsid w:val="001046B1"/>
    <w:rsid w:val="00110A6A"/>
    <w:rsid w:val="00114738"/>
    <w:rsid w:val="001349B8"/>
    <w:rsid w:val="00140417"/>
    <w:rsid w:val="00144349"/>
    <w:rsid w:val="001501E0"/>
    <w:rsid w:val="001606C5"/>
    <w:rsid w:val="00164629"/>
    <w:rsid w:val="00164D51"/>
    <w:rsid w:val="001A1580"/>
    <w:rsid w:val="001A40D9"/>
    <w:rsid w:val="001B09DF"/>
    <w:rsid w:val="001B2FDF"/>
    <w:rsid w:val="001C30B1"/>
    <w:rsid w:val="001C4CE7"/>
    <w:rsid w:val="001D13FC"/>
    <w:rsid w:val="001D51B4"/>
    <w:rsid w:val="001D6F98"/>
    <w:rsid w:val="001E298A"/>
    <w:rsid w:val="002015BF"/>
    <w:rsid w:val="00202480"/>
    <w:rsid w:val="00206584"/>
    <w:rsid w:val="00217DFB"/>
    <w:rsid w:val="002206C6"/>
    <w:rsid w:val="00224538"/>
    <w:rsid w:val="00225F2F"/>
    <w:rsid w:val="00230F6F"/>
    <w:rsid w:val="002355C3"/>
    <w:rsid w:val="002437A0"/>
    <w:rsid w:val="00256DCB"/>
    <w:rsid w:val="00265E50"/>
    <w:rsid w:val="00266B44"/>
    <w:rsid w:val="00267069"/>
    <w:rsid w:val="002703D4"/>
    <w:rsid w:val="0028027A"/>
    <w:rsid w:val="00296061"/>
    <w:rsid w:val="00297758"/>
    <w:rsid w:val="002A65E3"/>
    <w:rsid w:val="002B6F8D"/>
    <w:rsid w:val="002C333F"/>
    <w:rsid w:val="002C68D7"/>
    <w:rsid w:val="002D1F46"/>
    <w:rsid w:val="002D382E"/>
    <w:rsid w:val="002E225F"/>
    <w:rsid w:val="002E3ACD"/>
    <w:rsid w:val="002F49D9"/>
    <w:rsid w:val="002F6398"/>
    <w:rsid w:val="00347B80"/>
    <w:rsid w:val="00356D37"/>
    <w:rsid w:val="00360DF2"/>
    <w:rsid w:val="00373293"/>
    <w:rsid w:val="003738EA"/>
    <w:rsid w:val="003742C4"/>
    <w:rsid w:val="003759E2"/>
    <w:rsid w:val="00380DE5"/>
    <w:rsid w:val="00387175"/>
    <w:rsid w:val="00391A16"/>
    <w:rsid w:val="0039317C"/>
    <w:rsid w:val="0039488C"/>
    <w:rsid w:val="00394E8E"/>
    <w:rsid w:val="00395527"/>
    <w:rsid w:val="0039554B"/>
    <w:rsid w:val="00396FA3"/>
    <w:rsid w:val="003B7D76"/>
    <w:rsid w:val="003D5C80"/>
    <w:rsid w:val="004017B6"/>
    <w:rsid w:val="004052EF"/>
    <w:rsid w:val="004148C9"/>
    <w:rsid w:val="00421AF4"/>
    <w:rsid w:val="004223BC"/>
    <w:rsid w:val="00435830"/>
    <w:rsid w:val="00453290"/>
    <w:rsid w:val="00455493"/>
    <w:rsid w:val="00460173"/>
    <w:rsid w:val="004642B3"/>
    <w:rsid w:val="00467C5A"/>
    <w:rsid w:val="0047165E"/>
    <w:rsid w:val="00472C64"/>
    <w:rsid w:val="0047495A"/>
    <w:rsid w:val="0049616E"/>
    <w:rsid w:val="004967D1"/>
    <w:rsid w:val="004A1DBC"/>
    <w:rsid w:val="004C5A4D"/>
    <w:rsid w:val="004C645A"/>
    <w:rsid w:val="004C7EBB"/>
    <w:rsid w:val="004D0387"/>
    <w:rsid w:val="004D295B"/>
    <w:rsid w:val="004E2414"/>
    <w:rsid w:val="004E5DF1"/>
    <w:rsid w:val="004F2689"/>
    <w:rsid w:val="00503A63"/>
    <w:rsid w:val="00504E72"/>
    <w:rsid w:val="005119A0"/>
    <w:rsid w:val="0051465E"/>
    <w:rsid w:val="00522661"/>
    <w:rsid w:val="00540054"/>
    <w:rsid w:val="005452EC"/>
    <w:rsid w:val="005518DA"/>
    <w:rsid w:val="0055651E"/>
    <w:rsid w:val="005574F3"/>
    <w:rsid w:val="00561471"/>
    <w:rsid w:val="00561FC1"/>
    <w:rsid w:val="00563D8F"/>
    <w:rsid w:val="00570C5B"/>
    <w:rsid w:val="0057380D"/>
    <w:rsid w:val="00584872"/>
    <w:rsid w:val="00593C00"/>
    <w:rsid w:val="00593E62"/>
    <w:rsid w:val="005C58DC"/>
    <w:rsid w:val="005E1B48"/>
    <w:rsid w:val="006007BB"/>
    <w:rsid w:val="00610970"/>
    <w:rsid w:val="00615199"/>
    <w:rsid w:val="00641C15"/>
    <w:rsid w:val="0064531A"/>
    <w:rsid w:val="006750C6"/>
    <w:rsid w:val="00683348"/>
    <w:rsid w:val="006862C2"/>
    <w:rsid w:val="0069388E"/>
    <w:rsid w:val="006A5EC1"/>
    <w:rsid w:val="006B2F99"/>
    <w:rsid w:val="006B36C3"/>
    <w:rsid w:val="006B36D3"/>
    <w:rsid w:val="006B3C8A"/>
    <w:rsid w:val="006B4DE5"/>
    <w:rsid w:val="006C1729"/>
    <w:rsid w:val="006D078B"/>
    <w:rsid w:val="006E38BE"/>
    <w:rsid w:val="00701598"/>
    <w:rsid w:val="00711DA4"/>
    <w:rsid w:val="00711E12"/>
    <w:rsid w:val="00733FB2"/>
    <w:rsid w:val="00742C17"/>
    <w:rsid w:val="00771654"/>
    <w:rsid w:val="00773BDA"/>
    <w:rsid w:val="00782522"/>
    <w:rsid w:val="007872C1"/>
    <w:rsid w:val="0079232F"/>
    <w:rsid w:val="007B78F0"/>
    <w:rsid w:val="007C0C3F"/>
    <w:rsid w:val="007C3061"/>
    <w:rsid w:val="007D5060"/>
    <w:rsid w:val="007E1FBF"/>
    <w:rsid w:val="007E4E11"/>
    <w:rsid w:val="007F7B33"/>
    <w:rsid w:val="0080036B"/>
    <w:rsid w:val="00805939"/>
    <w:rsid w:val="00817435"/>
    <w:rsid w:val="00824233"/>
    <w:rsid w:val="00824424"/>
    <w:rsid w:val="008269E2"/>
    <w:rsid w:val="0083626A"/>
    <w:rsid w:val="00845EFF"/>
    <w:rsid w:val="00846753"/>
    <w:rsid w:val="00846D41"/>
    <w:rsid w:val="0086248E"/>
    <w:rsid w:val="0087168A"/>
    <w:rsid w:val="0087334F"/>
    <w:rsid w:val="00873B86"/>
    <w:rsid w:val="00880A7C"/>
    <w:rsid w:val="00882F0A"/>
    <w:rsid w:val="00891123"/>
    <w:rsid w:val="0089571D"/>
    <w:rsid w:val="008A42C6"/>
    <w:rsid w:val="008B25F2"/>
    <w:rsid w:val="008C0EDD"/>
    <w:rsid w:val="008C466F"/>
    <w:rsid w:val="008D52AF"/>
    <w:rsid w:val="008F48C2"/>
    <w:rsid w:val="008F7C7C"/>
    <w:rsid w:val="009025AE"/>
    <w:rsid w:val="0090295E"/>
    <w:rsid w:val="00923F66"/>
    <w:rsid w:val="0093470F"/>
    <w:rsid w:val="009471EB"/>
    <w:rsid w:val="00955F63"/>
    <w:rsid w:val="00956B3A"/>
    <w:rsid w:val="00960F45"/>
    <w:rsid w:val="00967841"/>
    <w:rsid w:val="00973F19"/>
    <w:rsid w:val="009743DD"/>
    <w:rsid w:val="009B30F7"/>
    <w:rsid w:val="009B7C74"/>
    <w:rsid w:val="009C5905"/>
    <w:rsid w:val="009D41D7"/>
    <w:rsid w:val="009D448C"/>
    <w:rsid w:val="009E2588"/>
    <w:rsid w:val="009E436E"/>
    <w:rsid w:val="009E7678"/>
    <w:rsid w:val="00A120B6"/>
    <w:rsid w:val="00A31C94"/>
    <w:rsid w:val="00A3623A"/>
    <w:rsid w:val="00A56B90"/>
    <w:rsid w:val="00A61EF6"/>
    <w:rsid w:val="00A62EFA"/>
    <w:rsid w:val="00A63DD3"/>
    <w:rsid w:val="00A66386"/>
    <w:rsid w:val="00A71EE0"/>
    <w:rsid w:val="00A72686"/>
    <w:rsid w:val="00A7392B"/>
    <w:rsid w:val="00AA2D48"/>
    <w:rsid w:val="00AB528D"/>
    <w:rsid w:val="00AB7713"/>
    <w:rsid w:val="00AC532C"/>
    <w:rsid w:val="00AC5A3F"/>
    <w:rsid w:val="00AC6A41"/>
    <w:rsid w:val="00AD5A1B"/>
    <w:rsid w:val="00AE0B8B"/>
    <w:rsid w:val="00AE2ED7"/>
    <w:rsid w:val="00AF24F4"/>
    <w:rsid w:val="00AF411F"/>
    <w:rsid w:val="00AF7FB3"/>
    <w:rsid w:val="00B06F24"/>
    <w:rsid w:val="00B137C7"/>
    <w:rsid w:val="00B17E1E"/>
    <w:rsid w:val="00B22A42"/>
    <w:rsid w:val="00B321FD"/>
    <w:rsid w:val="00B41489"/>
    <w:rsid w:val="00B45A33"/>
    <w:rsid w:val="00B6051C"/>
    <w:rsid w:val="00B6247C"/>
    <w:rsid w:val="00B64F2A"/>
    <w:rsid w:val="00B87354"/>
    <w:rsid w:val="00BB02A4"/>
    <w:rsid w:val="00BB321A"/>
    <w:rsid w:val="00BB3B55"/>
    <w:rsid w:val="00BB4E03"/>
    <w:rsid w:val="00BB5333"/>
    <w:rsid w:val="00BC352A"/>
    <w:rsid w:val="00BD5621"/>
    <w:rsid w:val="00BE283D"/>
    <w:rsid w:val="00C120E6"/>
    <w:rsid w:val="00C13DFD"/>
    <w:rsid w:val="00C2117C"/>
    <w:rsid w:val="00C34C4B"/>
    <w:rsid w:val="00C43C55"/>
    <w:rsid w:val="00C45C6F"/>
    <w:rsid w:val="00C541E3"/>
    <w:rsid w:val="00C824B3"/>
    <w:rsid w:val="00C92EE5"/>
    <w:rsid w:val="00C94733"/>
    <w:rsid w:val="00C947F4"/>
    <w:rsid w:val="00CA0F8B"/>
    <w:rsid w:val="00CA693E"/>
    <w:rsid w:val="00CA7E3F"/>
    <w:rsid w:val="00CB1B3A"/>
    <w:rsid w:val="00CB24B0"/>
    <w:rsid w:val="00CD14E1"/>
    <w:rsid w:val="00CE4255"/>
    <w:rsid w:val="00CF0F40"/>
    <w:rsid w:val="00CF150C"/>
    <w:rsid w:val="00D22DFA"/>
    <w:rsid w:val="00D25E7B"/>
    <w:rsid w:val="00D30159"/>
    <w:rsid w:val="00D422CE"/>
    <w:rsid w:val="00D62AFF"/>
    <w:rsid w:val="00D64CCA"/>
    <w:rsid w:val="00D6635E"/>
    <w:rsid w:val="00D66710"/>
    <w:rsid w:val="00D70EBE"/>
    <w:rsid w:val="00D752D0"/>
    <w:rsid w:val="00D76A7B"/>
    <w:rsid w:val="00D76F74"/>
    <w:rsid w:val="00D840DD"/>
    <w:rsid w:val="00D92B7F"/>
    <w:rsid w:val="00D94270"/>
    <w:rsid w:val="00D959D2"/>
    <w:rsid w:val="00D9645A"/>
    <w:rsid w:val="00D976AD"/>
    <w:rsid w:val="00DA3E69"/>
    <w:rsid w:val="00DA77D5"/>
    <w:rsid w:val="00DC71A6"/>
    <w:rsid w:val="00DE3EA2"/>
    <w:rsid w:val="00DF7F7A"/>
    <w:rsid w:val="00E01D61"/>
    <w:rsid w:val="00E21E2B"/>
    <w:rsid w:val="00E240D9"/>
    <w:rsid w:val="00E3055F"/>
    <w:rsid w:val="00E4692B"/>
    <w:rsid w:val="00E52B91"/>
    <w:rsid w:val="00E62E14"/>
    <w:rsid w:val="00E64D7D"/>
    <w:rsid w:val="00E71390"/>
    <w:rsid w:val="00E72CD4"/>
    <w:rsid w:val="00E73312"/>
    <w:rsid w:val="00E857DD"/>
    <w:rsid w:val="00E87236"/>
    <w:rsid w:val="00E9085A"/>
    <w:rsid w:val="00EA7576"/>
    <w:rsid w:val="00EC4A3D"/>
    <w:rsid w:val="00EE2B74"/>
    <w:rsid w:val="00EE5EE7"/>
    <w:rsid w:val="00EE7A53"/>
    <w:rsid w:val="00EF47C6"/>
    <w:rsid w:val="00EF59E3"/>
    <w:rsid w:val="00F170F9"/>
    <w:rsid w:val="00F31F38"/>
    <w:rsid w:val="00F36C42"/>
    <w:rsid w:val="00F47A32"/>
    <w:rsid w:val="00F52B00"/>
    <w:rsid w:val="00F555BC"/>
    <w:rsid w:val="00F60E33"/>
    <w:rsid w:val="00F65FA1"/>
    <w:rsid w:val="00F66E84"/>
    <w:rsid w:val="00F80ED0"/>
    <w:rsid w:val="00F827CD"/>
    <w:rsid w:val="00F83CF4"/>
    <w:rsid w:val="00F86832"/>
    <w:rsid w:val="00F91BEC"/>
    <w:rsid w:val="00F931B8"/>
    <w:rsid w:val="00FA1424"/>
    <w:rsid w:val="00FA296D"/>
    <w:rsid w:val="00FA7989"/>
    <w:rsid w:val="00FB01B8"/>
    <w:rsid w:val="00FD43A0"/>
    <w:rsid w:val="00FE635A"/>
    <w:rsid w:val="00FE7831"/>
    <w:rsid w:val="00FF587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DDC3"/>
  <w15:chartTrackingRefBased/>
  <w15:docId w15:val="{986776B9-6509-4C70-81C2-4BBB7D03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5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5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2C"/>
    <w:rPr>
      <w:rFonts w:ascii="Segoe UI" w:hAnsi="Segoe UI" w:cs="Segoe UI"/>
      <w:sz w:val="18"/>
      <w:szCs w:val="18"/>
    </w:rPr>
  </w:style>
  <w:style w:type="paragraph" w:styleId="ListParagraph">
    <w:name w:val="List Paragraph"/>
    <w:basedOn w:val="Normal"/>
    <w:uiPriority w:val="34"/>
    <w:qFormat/>
    <w:rsid w:val="00F80ED0"/>
    <w:pPr>
      <w:ind w:left="720"/>
      <w:contextualSpacing/>
    </w:pPr>
  </w:style>
  <w:style w:type="table" w:styleId="TableGrid">
    <w:name w:val="Table Grid"/>
    <w:basedOn w:val="TableNormal"/>
    <w:uiPriority w:val="39"/>
    <w:rsid w:val="00380D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3D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63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167">
      <w:bodyDiv w:val="1"/>
      <w:marLeft w:val="0"/>
      <w:marRight w:val="0"/>
      <w:marTop w:val="0"/>
      <w:marBottom w:val="0"/>
      <w:divBdr>
        <w:top w:val="none" w:sz="0" w:space="0" w:color="auto"/>
        <w:left w:val="none" w:sz="0" w:space="0" w:color="auto"/>
        <w:bottom w:val="none" w:sz="0" w:space="0" w:color="auto"/>
        <w:right w:val="none" w:sz="0" w:space="0" w:color="auto"/>
      </w:divBdr>
    </w:div>
    <w:div w:id="175775850">
      <w:bodyDiv w:val="1"/>
      <w:marLeft w:val="0"/>
      <w:marRight w:val="0"/>
      <w:marTop w:val="0"/>
      <w:marBottom w:val="0"/>
      <w:divBdr>
        <w:top w:val="none" w:sz="0" w:space="0" w:color="auto"/>
        <w:left w:val="none" w:sz="0" w:space="0" w:color="auto"/>
        <w:bottom w:val="none" w:sz="0" w:space="0" w:color="auto"/>
        <w:right w:val="none" w:sz="0" w:space="0" w:color="auto"/>
      </w:divBdr>
    </w:div>
    <w:div w:id="249393167">
      <w:bodyDiv w:val="1"/>
      <w:marLeft w:val="0"/>
      <w:marRight w:val="0"/>
      <w:marTop w:val="0"/>
      <w:marBottom w:val="0"/>
      <w:divBdr>
        <w:top w:val="none" w:sz="0" w:space="0" w:color="auto"/>
        <w:left w:val="none" w:sz="0" w:space="0" w:color="auto"/>
        <w:bottom w:val="none" w:sz="0" w:space="0" w:color="auto"/>
        <w:right w:val="none" w:sz="0" w:space="0" w:color="auto"/>
      </w:divBdr>
    </w:div>
    <w:div w:id="16744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80143-B916-4B5A-B3D1-E1AAA4E6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Morrison</dc:creator>
  <cp:keywords/>
  <dc:description/>
  <cp:lastModifiedBy>Stephen Abram</cp:lastModifiedBy>
  <cp:revision>4</cp:revision>
  <cp:lastPrinted>2019-11-12T15:44:00Z</cp:lastPrinted>
  <dcterms:created xsi:type="dcterms:W3CDTF">2019-11-12T16:31:00Z</dcterms:created>
  <dcterms:modified xsi:type="dcterms:W3CDTF">2019-11-12T16:49:00Z</dcterms:modified>
</cp:coreProperties>
</file>