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92A6" w14:textId="6EADED3A" w:rsidR="00D638C8" w:rsidRDefault="00D638C8" w:rsidP="00D638C8">
      <w:pPr>
        <w:spacing w:after="0" w:line="240" w:lineRule="auto"/>
        <w:jc w:val="center"/>
      </w:pPr>
      <w:bookmarkStart w:id="0" w:name="_GoBack"/>
      <w:bookmarkEnd w:id="0"/>
    </w:p>
    <w:p w14:paraId="61703530" w14:textId="77777777" w:rsidR="0031775F" w:rsidRPr="007F4278" w:rsidRDefault="0031775F" w:rsidP="0031775F">
      <w:pPr>
        <w:pStyle w:val="Heading2"/>
        <w:ind w:left="9"/>
        <w:rPr>
          <w:rFonts w:asciiTheme="minorHAnsi" w:hAnsiTheme="minorHAnsi"/>
          <w:color w:val="auto"/>
          <w:sz w:val="28"/>
          <w:szCs w:val="28"/>
        </w:rPr>
      </w:pPr>
      <w:r w:rsidRPr="007F4278">
        <w:rPr>
          <w:rFonts w:asciiTheme="minorHAnsi" w:hAnsiTheme="minorHAnsi"/>
          <w:color w:val="auto"/>
          <w:sz w:val="28"/>
          <w:szCs w:val="28"/>
        </w:rPr>
        <w:t>ORGANIZATIONAL PROFILE</w:t>
      </w:r>
    </w:p>
    <w:p w14:paraId="52C27D58" w14:textId="72D5BBFC" w:rsidR="0031775F" w:rsidRDefault="0031775F" w:rsidP="0031775F">
      <w:pPr>
        <w:spacing w:after="0" w:line="216" w:lineRule="auto"/>
        <w:ind w:left="5" w:right="89" w:hanging="10"/>
        <w:rPr>
          <w:sz w:val="24"/>
        </w:rPr>
      </w:pPr>
      <w:r w:rsidRPr="00165742">
        <w:rPr>
          <w:sz w:val="24"/>
        </w:rPr>
        <w:t xml:space="preserve">The Federation of Ontario Public Libraries (FOPL) is a not-for-profit membership organization that was launched in 2005 to provide a strong and united voice for the public libraries of Ontario to advance library policies and programs in the Province. The organization currently has adopted four key areas of focus: Government Relations, Marketing and Communications, First Nations Partnerships and Training and Development.     </w:t>
      </w:r>
    </w:p>
    <w:p w14:paraId="0C999E39" w14:textId="77777777" w:rsidR="00CA7823" w:rsidRPr="00165742" w:rsidRDefault="00CA7823" w:rsidP="0031775F">
      <w:pPr>
        <w:spacing w:after="0" w:line="216" w:lineRule="auto"/>
        <w:ind w:left="5" w:right="89" w:hanging="10"/>
        <w:rPr>
          <w:sz w:val="24"/>
        </w:rPr>
      </w:pPr>
    </w:p>
    <w:p w14:paraId="28F672B4" w14:textId="71303769" w:rsidR="0031775F" w:rsidRPr="00CA7823" w:rsidRDefault="0031775F" w:rsidP="0031775F">
      <w:pPr>
        <w:pStyle w:val="Heading2"/>
        <w:spacing w:after="175"/>
        <w:ind w:left="9"/>
        <w:rPr>
          <w:rFonts w:asciiTheme="minorHAnsi" w:hAnsiTheme="minorHAnsi"/>
          <w:color w:val="auto"/>
          <w:sz w:val="28"/>
          <w:szCs w:val="28"/>
        </w:rPr>
      </w:pPr>
      <w:r w:rsidRPr="00CA7823">
        <w:rPr>
          <w:rFonts w:asciiTheme="minorHAnsi" w:hAnsiTheme="minorHAnsi"/>
          <w:color w:val="auto"/>
          <w:sz w:val="28"/>
          <w:szCs w:val="28"/>
        </w:rPr>
        <w:t>DESCRIPTION of NEED</w:t>
      </w:r>
    </w:p>
    <w:p w14:paraId="09750A09" w14:textId="76A6C6F9" w:rsidR="0031775F" w:rsidRPr="005E0AAA" w:rsidRDefault="0031775F" w:rsidP="00165742">
      <w:pPr>
        <w:spacing w:after="251" w:line="216" w:lineRule="auto"/>
        <w:ind w:left="5" w:right="89" w:hanging="10"/>
      </w:pPr>
      <w:r w:rsidRPr="00165742">
        <w:rPr>
          <w:sz w:val="24"/>
        </w:rPr>
        <w:t xml:space="preserve">The Executive Director reports to the Board of Directors and has overall responsibility for the day-to-day management of the Federation; provides support and advice to the Board; provides leadership for strategic planning and implementation; </w:t>
      </w:r>
      <w:bookmarkStart w:id="1" w:name="_Hlk56847041"/>
      <w:r w:rsidRPr="00165742">
        <w:rPr>
          <w:sz w:val="24"/>
        </w:rPr>
        <w:t>builds member confidence in FOPL by ensuring a responsive organization to member needs a</w:t>
      </w:r>
      <w:bookmarkEnd w:id="1"/>
      <w:r w:rsidRPr="00165742">
        <w:rPr>
          <w:sz w:val="24"/>
        </w:rPr>
        <w:t xml:space="preserve">nd creates opportunities for member participation in the activities of the organization. The Executive Director leads government relations activities serving as a lobbyist and an advocate for FOPL with government, relevant agencies, and business organizations; supports the development of marketing and communications initiatives; creates and oversees professional training and development initiatives and nurtures the strengthening of partnerships with First Nations Public Libraries and all other collaborative relationships.  </w:t>
      </w:r>
    </w:p>
    <w:p w14:paraId="6A0EA96C" w14:textId="38338B27" w:rsidR="0031775F" w:rsidRPr="007F4278" w:rsidRDefault="0031775F" w:rsidP="0031775F">
      <w:pPr>
        <w:pStyle w:val="Heading2"/>
        <w:spacing w:after="183"/>
        <w:ind w:left="9"/>
        <w:rPr>
          <w:rFonts w:asciiTheme="minorHAnsi" w:hAnsiTheme="minorHAnsi"/>
          <w:color w:val="auto"/>
          <w:sz w:val="28"/>
          <w:szCs w:val="28"/>
        </w:rPr>
      </w:pPr>
      <w:r w:rsidRPr="007F4278">
        <w:rPr>
          <w:rFonts w:asciiTheme="minorHAnsi" w:hAnsiTheme="minorHAnsi"/>
          <w:color w:val="auto"/>
          <w:sz w:val="28"/>
          <w:szCs w:val="28"/>
        </w:rPr>
        <w:t>RESPONSIBILITIES</w:t>
      </w:r>
    </w:p>
    <w:p w14:paraId="4F86903D" w14:textId="77777777" w:rsidR="0031775F" w:rsidRPr="005E2AAF" w:rsidRDefault="0031775F" w:rsidP="0031775F">
      <w:pPr>
        <w:spacing w:after="219" w:line="225" w:lineRule="auto"/>
        <w:ind w:left="10" w:firstLine="5"/>
        <w:jc w:val="both"/>
        <w:rPr>
          <w:sz w:val="24"/>
          <w:szCs w:val="24"/>
        </w:rPr>
      </w:pPr>
      <w:r w:rsidRPr="005E2AAF">
        <w:rPr>
          <w:sz w:val="24"/>
          <w:szCs w:val="24"/>
        </w:rPr>
        <w:t>Reporting to the Board of Directors, the Executive Director has the following responsibilities:</w:t>
      </w:r>
    </w:p>
    <w:p w14:paraId="78586599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b/>
          <w:sz w:val="24"/>
          <w:szCs w:val="24"/>
        </w:rPr>
      </w:pPr>
      <w:r w:rsidRPr="005E2AAF">
        <w:rPr>
          <w:b/>
          <w:sz w:val="24"/>
          <w:szCs w:val="24"/>
        </w:rPr>
        <w:t>Strategic Planning &amp; Action</w:t>
      </w:r>
    </w:p>
    <w:p w14:paraId="723E9EEE" w14:textId="77777777" w:rsidR="0031775F" w:rsidRPr="005E2AAF" w:rsidRDefault="0031775F" w:rsidP="0031775F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5E2AAF">
        <w:rPr>
          <w:sz w:val="24"/>
          <w:szCs w:val="24"/>
        </w:rPr>
        <w:t xml:space="preserve">Works closely with the Board in the development of FOPL’s strategic plan, annual goals </w:t>
      </w:r>
      <w:r w:rsidRPr="005E2AAF">
        <w:rPr>
          <w:rFonts w:cstheme="minorHAnsi"/>
          <w:sz w:val="24"/>
          <w:szCs w:val="24"/>
        </w:rPr>
        <w:t>and budgets in accordance with the plan.</w:t>
      </w:r>
    </w:p>
    <w:p w14:paraId="67641681" w14:textId="77777777" w:rsidR="0031775F" w:rsidRPr="005E2AAF" w:rsidRDefault="0031775F" w:rsidP="0031775F">
      <w:pPr>
        <w:pStyle w:val="NoSpacing"/>
        <w:numPr>
          <w:ilvl w:val="0"/>
          <w:numId w:val="43"/>
        </w:numPr>
        <w:rPr>
          <w:sz w:val="24"/>
          <w:szCs w:val="24"/>
        </w:rPr>
      </w:pPr>
      <w:r w:rsidRPr="005E2AAF">
        <w:rPr>
          <w:sz w:val="24"/>
          <w:szCs w:val="24"/>
        </w:rPr>
        <w:t>Develops structures and processes for the implementation of approved plans.</w:t>
      </w:r>
    </w:p>
    <w:p w14:paraId="05C0516C" w14:textId="77777777" w:rsidR="0031775F" w:rsidRPr="005E2AAF" w:rsidRDefault="0031775F" w:rsidP="0031775F">
      <w:pPr>
        <w:pStyle w:val="NoSpacing"/>
        <w:numPr>
          <w:ilvl w:val="0"/>
          <w:numId w:val="43"/>
        </w:numPr>
        <w:rPr>
          <w:rFonts w:eastAsia="Times New Roman" w:cs="Calibri"/>
          <w:sz w:val="24"/>
          <w:szCs w:val="24"/>
        </w:rPr>
      </w:pPr>
      <w:r w:rsidRPr="005E2AAF">
        <w:rPr>
          <w:rFonts w:eastAsia="Times New Roman" w:cs="Calibri"/>
          <w:sz w:val="24"/>
          <w:szCs w:val="24"/>
        </w:rPr>
        <w:t>Remain</w:t>
      </w:r>
      <w:r w:rsidRPr="005E2AAF">
        <w:rPr>
          <w:rFonts w:eastAsia="Times New Roman"/>
          <w:sz w:val="24"/>
          <w:szCs w:val="24"/>
        </w:rPr>
        <w:t>s</w:t>
      </w:r>
      <w:r w:rsidRPr="005E2AAF">
        <w:rPr>
          <w:rFonts w:eastAsia="Times New Roman" w:cs="Calibri"/>
          <w:sz w:val="24"/>
          <w:szCs w:val="24"/>
        </w:rPr>
        <w:t xml:space="preserve"> agile to enable timely response to emerging issues and opportunities</w:t>
      </w:r>
    </w:p>
    <w:p w14:paraId="3E0047B1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2BCB38A1" w14:textId="77777777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t>Board Support and Member Participation</w:t>
      </w:r>
    </w:p>
    <w:p w14:paraId="2E483E79" w14:textId="77777777" w:rsidR="0031775F" w:rsidRPr="005E2AAF" w:rsidRDefault="0031775F" w:rsidP="0031775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Provides advice to the Board regarding policy, strategies, and matters of governance, and administrative and operational support to the Board, Board Committees, and FOPL Working Groups.</w:t>
      </w:r>
    </w:p>
    <w:p w14:paraId="24917476" w14:textId="77777777" w:rsidR="0031775F" w:rsidRPr="005E2AAF" w:rsidRDefault="0031775F" w:rsidP="0031775F">
      <w:pPr>
        <w:pStyle w:val="NoSpacing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Keeps members fully informed of FOPL plans and priorities, builds member confidence in FOPL by ensuring a responsive organization to member needs and promotes the active participation of members in FOPL activities.</w:t>
      </w:r>
    </w:p>
    <w:p w14:paraId="7B2D97CC" w14:textId="7C57A4EE" w:rsidR="0031775F" w:rsidRDefault="0031775F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495F2F74" w14:textId="63AC4BAE" w:rsidR="00CA7823" w:rsidRDefault="00CA7823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63E04A8B" w14:textId="2E98ABC3" w:rsidR="00CA7823" w:rsidRDefault="00CA7823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32021595" w14:textId="77777777" w:rsidR="00CA7823" w:rsidRPr="005E2AAF" w:rsidRDefault="00CA7823" w:rsidP="0031775F">
      <w:pPr>
        <w:spacing w:after="0" w:line="264" w:lineRule="auto"/>
        <w:ind w:left="4" w:right="16"/>
        <w:jc w:val="both"/>
        <w:rPr>
          <w:rFonts w:cstheme="minorHAnsi"/>
          <w:sz w:val="24"/>
          <w:szCs w:val="24"/>
        </w:rPr>
      </w:pPr>
    </w:p>
    <w:p w14:paraId="1F257183" w14:textId="2A2E7D62" w:rsidR="0031775F" w:rsidRPr="005E2AAF" w:rsidRDefault="0031775F" w:rsidP="0031775F">
      <w:pPr>
        <w:spacing w:after="0" w:line="264" w:lineRule="auto"/>
        <w:ind w:left="4" w:right="16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lastRenderedPageBreak/>
        <w:t xml:space="preserve">Government Relations and Advocacy </w:t>
      </w:r>
    </w:p>
    <w:p w14:paraId="7A806090" w14:textId="54A3CD1C" w:rsidR="0031775F" w:rsidRDefault="0031775F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Identifies for Board consideration issues and opportunities related to the provision of public library services in Ontario, and develops positions, policies and action plans to address them.</w:t>
      </w:r>
    </w:p>
    <w:p w14:paraId="2B00974C" w14:textId="4FDB1AE8" w:rsidR="00386EC7" w:rsidRPr="005E2AAF" w:rsidRDefault="00386EC7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Evaluates current and future advocacy initiatives against stated objectives.</w:t>
      </w:r>
    </w:p>
    <w:p w14:paraId="2A057A70" w14:textId="77777777" w:rsidR="0031775F" w:rsidRPr="005E2AAF" w:rsidRDefault="0031775F" w:rsidP="0031775F">
      <w:pPr>
        <w:pStyle w:val="NoSpacing"/>
        <w:numPr>
          <w:ilvl w:val="0"/>
          <w:numId w:val="34"/>
        </w:numPr>
        <w:rPr>
          <w:rFonts w:eastAsia="Calibri" w:cs="Calibr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 xml:space="preserve">Establishes ongoing working relationships in government, relevant agencies and business organizations acting as a lobbyist to create a strong presence for FOPL and influence government policy and practices. </w:t>
      </w:r>
    </w:p>
    <w:p w14:paraId="2F36D38F" w14:textId="77777777" w:rsidR="0031775F" w:rsidRPr="005E2AAF" w:rsidRDefault="0031775F" w:rsidP="0031775F">
      <w:pPr>
        <w:pStyle w:val="NoSpacing"/>
        <w:numPr>
          <w:ilvl w:val="0"/>
          <w:numId w:val="41"/>
        </w:numPr>
        <w:rPr>
          <w:rFonts w:eastAsia="Calibri" w:cs="Calibri"/>
          <w:sz w:val="24"/>
          <w:szCs w:val="24"/>
        </w:rPr>
      </w:pPr>
      <w:r w:rsidRPr="005E2AAF">
        <w:rPr>
          <w:sz w:val="24"/>
          <w:szCs w:val="24"/>
        </w:rPr>
        <w:t>Identifies and fosters partnerships with traditional and non-traditional partners to strengthen the success of FOPL initiatives.</w:t>
      </w:r>
      <w:r w:rsidRPr="005E2AAF">
        <w:rPr>
          <w:rFonts w:eastAsia="Times New Roman" w:cs="Calibri"/>
          <w:sz w:val="24"/>
          <w:szCs w:val="24"/>
        </w:rPr>
        <w:t xml:space="preserve"> </w:t>
      </w:r>
    </w:p>
    <w:p w14:paraId="655EE99E" w14:textId="77777777" w:rsidR="0031775F" w:rsidRPr="005E2AAF" w:rsidRDefault="0031775F" w:rsidP="0031775F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5E2AAF">
        <w:rPr>
          <w:sz w:val="24"/>
          <w:szCs w:val="24"/>
        </w:rPr>
        <w:t>Performs</w:t>
      </w:r>
      <w:r w:rsidRPr="005E2AAF">
        <w:rPr>
          <w:rFonts w:eastAsia="Calibri" w:cs="Calibri"/>
          <w:sz w:val="24"/>
          <w:szCs w:val="24"/>
        </w:rPr>
        <w:t xml:space="preserve"> as a conduit for government to supply information to Public Libraries</w:t>
      </w:r>
      <w:r w:rsidRPr="005E2AAF">
        <w:rPr>
          <w:sz w:val="24"/>
          <w:szCs w:val="24"/>
        </w:rPr>
        <w:t>.</w:t>
      </w:r>
    </w:p>
    <w:p w14:paraId="053535FB" w14:textId="77777777" w:rsidR="0031775F" w:rsidRPr="005E2AAF" w:rsidRDefault="0031775F" w:rsidP="0031775F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5E2AAF">
        <w:rPr>
          <w:sz w:val="24"/>
          <w:szCs w:val="24"/>
        </w:rPr>
        <w:t>Seeks potential funding sources and develops funding and grant requests to support the priority initiatives of FOPL.</w:t>
      </w:r>
    </w:p>
    <w:p w14:paraId="6564A105" w14:textId="77777777" w:rsidR="0031775F" w:rsidRPr="005E2AAF" w:rsidRDefault="0031775F" w:rsidP="0031775F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Jointly with the Board Chair, shares the role of spokesperson and representative of the Federation with government and stakeholders.</w:t>
      </w:r>
    </w:p>
    <w:p w14:paraId="6082178E" w14:textId="77777777" w:rsidR="0031775F" w:rsidRPr="005E2AAF" w:rsidRDefault="0031775F" w:rsidP="0031775F">
      <w:pPr>
        <w:spacing w:after="35" w:line="225" w:lineRule="auto"/>
        <w:jc w:val="both"/>
        <w:rPr>
          <w:rFonts w:cstheme="minorHAnsi"/>
          <w:sz w:val="24"/>
          <w:szCs w:val="24"/>
        </w:rPr>
      </w:pPr>
    </w:p>
    <w:p w14:paraId="79CE7B26" w14:textId="77777777" w:rsidR="0031775F" w:rsidRPr="005E2AAF" w:rsidRDefault="0031775F" w:rsidP="0031775F">
      <w:pPr>
        <w:spacing w:after="35" w:line="225" w:lineRule="auto"/>
        <w:ind w:left="34"/>
        <w:jc w:val="both"/>
        <w:rPr>
          <w:rFonts w:cstheme="minorHAnsi"/>
          <w:b/>
          <w:sz w:val="24"/>
          <w:szCs w:val="24"/>
        </w:rPr>
      </w:pPr>
      <w:r w:rsidRPr="005E2AAF">
        <w:rPr>
          <w:rFonts w:cstheme="minorHAnsi"/>
          <w:b/>
          <w:sz w:val="24"/>
          <w:szCs w:val="24"/>
        </w:rPr>
        <w:t>Marketing and Communications</w:t>
      </w:r>
    </w:p>
    <w:p w14:paraId="01575579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Acts as the trusted single loud voice for Ontario’s Public Libraries.</w:t>
      </w:r>
    </w:p>
    <w:p w14:paraId="0E76AF65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Creates marketing campaigns and materials aimed at promoting a greater awareness of the impact and value of public libraries in their communities.</w:t>
      </w:r>
    </w:p>
    <w:p w14:paraId="7A335E27" w14:textId="77777777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Inspires and mobilizes the library community toward a common goal.</w:t>
      </w:r>
    </w:p>
    <w:p w14:paraId="1FAFE6CF" w14:textId="18F39B91" w:rsidR="0031775F" w:rsidRPr="005E2AAF" w:rsidRDefault="0031775F" w:rsidP="0031775F">
      <w:pPr>
        <w:pStyle w:val="NoSpacing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Oversees FOPL’s digital presence ensuring a dynamic and respected source of information.</w:t>
      </w:r>
    </w:p>
    <w:p w14:paraId="5033A1A8" w14:textId="77777777" w:rsidR="0031775F" w:rsidRPr="005E2AAF" w:rsidRDefault="0031775F" w:rsidP="0031775F">
      <w:pPr>
        <w:pStyle w:val="Heading2"/>
        <w:ind w:left="9"/>
        <w:rPr>
          <w:rFonts w:asciiTheme="minorHAnsi" w:hAnsiTheme="minorHAnsi" w:cstheme="minorHAnsi"/>
          <w:color w:val="auto"/>
          <w:sz w:val="24"/>
          <w:szCs w:val="24"/>
        </w:rPr>
      </w:pPr>
      <w:r w:rsidRPr="005E2AAF">
        <w:rPr>
          <w:rFonts w:asciiTheme="minorHAnsi" w:hAnsiTheme="minorHAnsi" w:cstheme="minorHAnsi"/>
          <w:color w:val="auto"/>
          <w:sz w:val="24"/>
          <w:szCs w:val="24"/>
        </w:rPr>
        <w:t>Training and Development</w:t>
      </w:r>
    </w:p>
    <w:p w14:paraId="67CD8285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Coordinates and collaborates with partners to provide training opportunities such as seminars, workshops, symposia, and webinars on topics of interest to the public library community</w:t>
      </w:r>
      <w:r w:rsidRPr="005E2AAF">
        <w:rPr>
          <w:sz w:val="24"/>
          <w:szCs w:val="24"/>
        </w:rPr>
        <w:t>.</w:t>
      </w:r>
    </w:p>
    <w:p w14:paraId="52151603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Shares expertise at professional conferences and events as an ambassador for FOPL</w:t>
      </w:r>
      <w:r w:rsidRPr="005E2AAF">
        <w:rPr>
          <w:sz w:val="24"/>
          <w:szCs w:val="24"/>
        </w:rPr>
        <w:t>.</w:t>
      </w:r>
    </w:p>
    <w:p w14:paraId="0DFA47EF" w14:textId="77777777" w:rsidR="0031775F" w:rsidRPr="005E2AAF" w:rsidRDefault="0031775F" w:rsidP="0031775F">
      <w:pPr>
        <w:pStyle w:val="NoSpacing"/>
        <w:numPr>
          <w:ilvl w:val="0"/>
          <w:numId w:val="39"/>
        </w:numPr>
        <w:rPr>
          <w:rFonts w:cs="Calibri"/>
          <w:sz w:val="24"/>
          <w:szCs w:val="24"/>
        </w:rPr>
      </w:pPr>
      <w:r w:rsidRPr="005E2AAF">
        <w:rPr>
          <w:rFonts w:cs="Calibri"/>
          <w:sz w:val="24"/>
          <w:szCs w:val="24"/>
        </w:rPr>
        <w:t>Works with the Board to establish research priorities and projects to support professional development with the public library sector and oversees the implementation of the research program.</w:t>
      </w:r>
    </w:p>
    <w:p w14:paraId="55A6634E" w14:textId="77777777" w:rsidR="0031775F" w:rsidRPr="005E2AAF" w:rsidRDefault="0031775F" w:rsidP="0031775F">
      <w:pPr>
        <w:spacing w:after="0"/>
        <w:ind w:left="34" w:hanging="10"/>
        <w:rPr>
          <w:rFonts w:eastAsia="Times New Roman" w:cstheme="minorHAnsi"/>
          <w:sz w:val="24"/>
          <w:szCs w:val="24"/>
        </w:rPr>
      </w:pPr>
    </w:p>
    <w:p w14:paraId="6B3C8C1D" w14:textId="77777777" w:rsidR="0031775F" w:rsidRPr="005E2AAF" w:rsidRDefault="0031775F" w:rsidP="0031775F">
      <w:pPr>
        <w:spacing w:after="0"/>
        <w:ind w:left="34" w:hanging="10"/>
        <w:rPr>
          <w:rFonts w:eastAsia="Times New Roman" w:cstheme="minorHAnsi"/>
          <w:b/>
          <w:sz w:val="24"/>
          <w:szCs w:val="24"/>
        </w:rPr>
      </w:pPr>
      <w:r w:rsidRPr="005E2AAF">
        <w:rPr>
          <w:rFonts w:eastAsia="Times New Roman" w:cstheme="minorHAnsi"/>
          <w:b/>
          <w:sz w:val="24"/>
          <w:szCs w:val="24"/>
        </w:rPr>
        <w:t>First Nations Public Library Partnerships</w:t>
      </w:r>
    </w:p>
    <w:p w14:paraId="0CD81A24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5E2AAF">
        <w:rPr>
          <w:sz w:val="24"/>
          <w:szCs w:val="24"/>
        </w:rPr>
        <w:t>Develops mutually respectful relationships with First Nations Public Libraries to provide a</w:t>
      </w:r>
      <w:r w:rsidRPr="005E2AAF">
        <w:rPr>
          <w:rFonts w:eastAsia="Calibri" w:cs="Calibri"/>
          <w:sz w:val="24"/>
          <w:szCs w:val="24"/>
        </w:rPr>
        <w:t xml:space="preserve"> forum for inter-library system cooperation and collaboration</w:t>
      </w:r>
      <w:r w:rsidRPr="005E2AAF">
        <w:rPr>
          <w:sz w:val="24"/>
          <w:szCs w:val="24"/>
        </w:rPr>
        <w:t>.</w:t>
      </w:r>
      <w:r w:rsidRPr="005E2AAF">
        <w:rPr>
          <w:rFonts w:eastAsia="Calibri" w:cs="Calibri"/>
          <w:sz w:val="24"/>
          <w:szCs w:val="24"/>
        </w:rPr>
        <w:t xml:space="preserve"> </w:t>
      </w:r>
    </w:p>
    <w:p w14:paraId="596F963E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rFonts w:cs="Calibri"/>
          <w:sz w:val="24"/>
          <w:szCs w:val="24"/>
        </w:rPr>
      </w:pPr>
      <w:r w:rsidRPr="005E2AAF">
        <w:rPr>
          <w:sz w:val="24"/>
          <w:szCs w:val="24"/>
        </w:rPr>
        <w:t xml:space="preserve">Builds </w:t>
      </w:r>
      <w:r w:rsidRPr="005E2AAF">
        <w:rPr>
          <w:rFonts w:cs="Calibri"/>
          <w:sz w:val="24"/>
          <w:szCs w:val="24"/>
        </w:rPr>
        <w:t>a member-driven focus to the truth &amp; reconciliation agenda to ensure the long-term success of all public libraries in Ontario</w:t>
      </w:r>
      <w:r w:rsidRPr="005E2AAF">
        <w:rPr>
          <w:sz w:val="24"/>
          <w:szCs w:val="24"/>
        </w:rPr>
        <w:t>.</w:t>
      </w:r>
      <w:r w:rsidRPr="005E2AAF">
        <w:rPr>
          <w:rFonts w:cs="Calibri"/>
          <w:sz w:val="24"/>
          <w:szCs w:val="24"/>
        </w:rPr>
        <w:t xml:space="preserve"> </w:t>
      </w:r>
    </w:p>
    <w:p w14:paraId="28E3A716" w14:textId="77777777" w:rsidR="0031775F" w:rsidRPr="005E2AAF" w:rsidRDefault="0031775F" w:rsidP="0031775F">
      <w:pPr>
        <w:pStyle w:val="NoSpacing"/>
        <w:numPr>
          <w:ilvl w:val="0"/>
          <w:numId w:val="40"/>
        </w:numPr>
        <w:rPr>
          <w:rFonts w:cs="Calibri"/>
          <w:sz w:val="24"/>
          <w:szCs w:val="24"/>
        </w:rPr>
      </w:pPr>
      <w:bookmarkStart w:id="2" w:name="_Hlk56929200"/>
      <w:r w:rsidRPr="005E2AAF">
        <w:rPr>
          <w:sz w:val="24"/>
          <w:szCs w:val="24"/>
        </w:rPr>
        <w:t>Delivers</w:t>
      </w:r>
      <w:r w:rsidRPr="005E2AAF">
        <w:rPr>
          <w:rFonts w:cs="Calibri"/>
          <w:sz w:val="24"/>
          <w:szCs w:val="24"/>
        </w:rPr>
        <w:t xml:space="preserve"> a platform, through First Nation membership, to elevate the collective voices of First Nation Public Libraries to our provincial leaders</w:t>
      </w:r>
    </w:p>
    <w:bookmarkEnd w:id="2"/>
    <w:p w14:paraId="408DB34F" w14:textId="77777777" w:rsidR="0031775F" w:rsidRPr="005E2AAF" w:rsidRDefault="0031775F" w:rsidP="0031775F">
      <w:pPr>
        <w:pStyle w:val="NoSpacing"/>
        <w:rPr>
          <w:rFonts w:cstheme="minorHAnsi"/>
          <w:sz w:val="24"/>
          <w:szCs w:val="24"/>
        </w:rPr>
      </w:pPr>
    </w:p>
    <w:p w14:paraId="25E7E77F" w14:textId="77777777" w:rsidR="00CA7823" w:rsidRDefault="00CA7823" w:rsidP="0031775F">
      <w:pPr>
        <w:spacing w:after="0"/>
        <w:ind w:left="34" w:hanging="10"/>
        <w:rPr>
          <w:rFonts w:eastAsia="Times New Roman" w:cstheme="minorHAnsi"/>
          <w:b/>
          <w:sz w:val="24"/>
          <w:szCs w:val="24"/>
        </w:rPr>
      </w:pPr>
    </w:p>
    <w:p w14:paraId="1724C002" w14:textId="1502C262" w:rsidR="0031775F" w:rsidRPr="005E2AAF" w:rsidRDefault="0031775F" w:rsidP="0031775F">
      <w:pPr>
        <w:spacing w:after="0"/>
        <w:ind w:left="34" w:hanging="10"/>
        <w:rPr>
          <w:rFonts w:cstheme="minorHAnsi"/>
          <w:b/>
          <w:sz w:val="24"/>
          <w:szCs w:val="24"/>
        </w:rPr>
      </w:pPr>
      <w:r w:rsidRPr="005E2AAF">
        <w:rPr>
          <w:rFonts w:eastAsia="Times New Roman" w:cstheme="minorHAnsi"/>
          <w:b/>
          <w:sz w:val="24"/>
          <w:szCs w:val="24"/>
        </w:rPr>
        <w:lastRenderedPageBreak/>
        <w:t>Administration</w:t>
      </w:r>
    </w:p>
    <w:p w14:paraId="77E6CC30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Directs all FOPL programs and services and manages the day-to-day operation of staff and facilities to ensure that the objectives of FOPL are met.</w:t>
      </w:r>
    </w:p>
    <w:p w14:paraId="6C3447DE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Provides overall leadership and supervision of FOPL staff, and other project-based staff FOPL may hire from time to time, in accordance with the policies and plans established by the Board.</w:t>
      </w:r>
    </w:p>
    <w:p w14:paraId="2CB6085C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Manages finances within the approved budget, and in accordance with sound financial practices.</w:t>
      </w:r>
    </w:p>
    <w:p w14:paraId="5E6B7CE0" w14:textId="77777777" w:rsidR="0031775F" w:rsidRPr="005E2AA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Supplies regular reports to the Board on the program and financial progress of FOPL.</w:t>
      </w:r>
    </w:p>
    <w:p w14:paraId="5CA273D7" w14:textId="374901BB" w:rsidR="0031775F" w:rsidRDefault="0031775F" w:rsidP="0031775F">
      <w:pPr>
        <w:pStyle w:val="NoSpacing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5E2AAF">
        <w:rPr>
          <w:rFonts w:cstheme="minorHAnsi"/>
          <w:sz w:val="24"/>
          <w:szCs w:val="24"/>
        </w:rPr>
        <w:t>Takes responsibility for maintaining and growing membership of FOPL, to ensure stable operational funding and maximum unity of Library advocacy in Ontario</w:t>
      </w:r>
    </w:p>
    <w:p w14:paraId="06D44551" w14:textId="272D812D" w:rsidR="00E86C10" w:rsidRDefault="00E86C10" w:rsidP="00E86C10">
      <w:pPr>
        <w:pStyle w:val="NoSpacing"/>
        <w:rPr>
          <w:rFonts w:cstheme="minorHAnsi"/>
          <w:sz w:val="24"/>
          <w:szCs w:val="24"/>
        </w:rPr>
      </w:pPr>
    </w:p>
    <w:p w14:paraId="17C160F5" w14:textId="69748759" w:rsidR="00E86C10" w:rsidRPr="002E657F" w:rsidRDefault="00E86C10" w:rsidP="00E86C10">
      <w:pPr>
        <w:pStyle w:val="NoSpacing"/>
        <w:rPr>
          <w:rFonts w:cstheme="minorHAnsi"/>
          <w:b/>
          <w:bCs/>
          <w:sz w:val="28"/>
          <w:szCs w:val="28"/>
        </w:rPr>
      </w:pPr>
      <w:r w:rsidRPr="002E657F">
        <w:rPr>
          <w:b/>
          <w:bCs/>
          <w:sz w:val="28"/>
          <w:szCs w:val="28"/>
        </w:rPr>
        <w:t>EXAMPLES OF KEY WORKING PROJECTS in 2021-2022 MAY INCLUDE:</w:t>
      </w:r>
    </w:p>
    <w:p w14:paraId="275F6CE4" w14:textId="24A33515" w:rsidR="00374DC8" w:rsidRDefault="00374DC8" w:rsidP="00E86C10">
      <w:pPr>
        <w:pStyle w:val="NoSpacing"/>
        <w:rPr>
          <w:rFonts w:cstheme="minorHAnsi"/>
          <w:sz w:val="24"/>
          <w:szCs w:val="24"/>
        </w:rPr>
      </w:pPr>
    </w:p>
    <w:p w14:paraId="1B1C1E0C" w14:textId="1A53E335" w:rsidR="009F3803" w:rsidRDefault="009F3803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Together with OLA and our government relations firm, continue to advocate for maintained</w:t>
      </w:r>
      <w:r w:rsidR="008A10C4">
        <w:rPr>
          <w:rFonts w:cstheme="minorHAnsi"/>
          <w:sz w:val="24"/>
          <w:szCs w:val="24"/>
        </w:rPr>
        <w:t xml:space="preserve"> and increased funding opportunities for public libraries in Ontario such as an Ontario Digital Public library and Public Libraries Operating Grant.</w:t>
      </w:r>
    </w:p>
    <w:p w14:paraId="1F401AAF" w14:textId="197835D8" w:rsidR="008A10C4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Connect with the volunteers in FOPL’s four working groups, and work to set goals and achieve new targets.</w:t>
      </w:r>
    </w:p>
    <w:p w14:paraId="33B6598A" w14:textId="6C4A162D" w:rsidR="008A10C4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Implement administrative best practices for the organization, such as reviewing policies and membership fee structure.</w:t>
      </w:r>
    </w:p>
    <w:p w14:paraId="7141B222" w14:textId="752DEC90" w:rsidR="008A10C4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Developing training opportunities to maximize the impact and use of the FOPL statistical report based on the Annual Survey of Public Libraries.</w:t>
      </w:r>
    </w:p>
    <w:p w14:paraId="7DD93C6E" w14:textId="6FC28E3D" w:rsidR="008A10C4" w:rsidRPr="005E2AAF" w:rsidRDefault="008A10C4" w:rsidP="005D6E64">
      <w:pPr>
        <w:pStyle w:val="NoSpacing"/>
        <w:numPr>
          <w:ilvl w:val="0"/>
          <w:numId w:val="4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awareness of FOPL within the library community, improving communications with members, website access, and social media presence.</w:t>
      </w:r>
    </w:p>
    <w:p w14:paraId="5F42F078" w14:textId="77777777" w:rsidR="0031775F" w:rsidRPr="005E0AAA" w:rsidRDefault="0031775F" w:rsidP="0031775F">
      <w:pPr>
        <w:spacing w:line="264" w:lineRule="auto"/>
        <w:ind w:left="4" w:right="16"/>
        <w:jc w:val="both"/>
        <w:rPr>
          <w:rFonts w:cstheme="minorHAnsi"/>
          <w:sz w:val="28"/>
        </w:rPr>
      </w:pPr>
    </w:p>
    <w:p w14:paraId="261024FB" w14:textId="15D7AD7A" w:rsidR="0031775F" w:rsidRDefault="0031775F" w:rsidP="005E2AAF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2E657F">
        <w:rPr>
          <w:rFonts w:asciiTheme="minorHAnsi" w:hAnsiTheme="minorHAnsi"/>
          <w:color w:val="auto"/>
          <w:sz w:val="28"/>
          <w:szCs w:val="28"/>
        </w:rPr>
        <w:t>PREVIOUS EXPERIENCE</w:t>
      </w:r>
    </w:p>
    <w:p w14:paraId="0E26E9C8" w14:textId="77777777" w:rsidR="002E657F" w:rsidRPr="002E657F" w:rsidRDefault="002E657F" w:rsidP="002E657F"/>
    <w:p w14:paraId="54676E8D" w14:textId="77777777" w:rsidR="0031775F" w:rsidRPr="009C3575" w:rsidRDefault="0031775F" w:rsidP="0031775F">
      <w:pPr>
        <w:pStyle w:val="ListParagraph"/>
        <w:numPr>
          <w:ilvl w:val="0"/>
          <w:numId w:val="37"/>
        </w:numPr>
        <w:spacing w:after="327" w:line="225" w:lineRule="auto"/>
        <w:rPr>
          <w:rFonts w:cstheme="minorHAnsi"/>
          <w:sz w:val="24"/>
        </w:rPr>
      </w:pPr>
      <w:r w:rsidRPr="009C3575">
        <w:rPr>
          <w:rFonts w:cstheme="minorHAnsi"/>
          <w:sz w:val="24"/>
        </w:rPr>
        <w:t xml:space="preserve">A post-graduate degree is required with a degree in Library Science preferred and a minimum of five years of relevant management experience including at a senior level within a library setting. </w:t>
      </w:r>
    </w:p>
    <w:p w14:paraId="1F08E7FF" w14:textId="77777777" w:rsidR="0031775F" w:rsidRPr="009C3575" w:rsidRDefault="0031775F" w:rsidP="0031775F">
      <w:pPr>
        <w:pStyle w:val="ListParagraph"/>
        <w:numPr>
          <w:ilvl w:val="0"/>
          <w:numId w:val="37"/>
        </w:numPr>
        <w:spacing w:after="327" w:line="225" w:lineRule="auto"/>
        <w:rPr>
          <w:rFonts w:cstheme="minorHAnsi"/>
          <w:sz w:val="24"/>
        </w:rPr>
      </w:pPr>
      <w:r w:rsidRPr="009C3575">
        <w:rPr>
          <w:rFonts w:cstheme="minorHAnsi"/>
          <w:sz w:val="24"/>
        </w:rPr>
        <w:t>A proven record of accomplishments, leadership and management in the areas of: organizational leadership; government relations and advocacy; interpersonal communications and partnership growth; marketing and communications; financial management; strategic planning; professional training and development; First Nations partnerships; and operations management.</w:t>
      </w:r>
    </w:p>
    <w:p w14:paraId="0EE624F1" w14:textId="77777777" w:rsidR="00CA7823" w:rsidRDefault="00CA7823" w:rsidP="009C3575">
      <w:pPr>
        <w:pStyle w:val="Heading2"/>
        <w:rPr>
          <w:rFonts w:asciiTheme="minorHAnsi" w:hAnsiTheme="minorHAnsi"/>
          <w:color w:val="auto"/>
          <w:sz w:val="28"/>
          <w:szCs w:val="28"/>
        </w:rPr>
      </w:pPr>
    </w:p>
    <w:p w14:paraId="597A95AA" w14:textId="055E54C1" w:rsidR="0031775F" w:rsidRPr="002E657F" w:rsidRDefault="0031775F" w:rsidP="009C3575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2E657F">
        <w:rPr>
          <w:rFonts w:asciiTheme="minorHAnsi" w:hAnsiTheme="minorHAnsi"/>
          <w:color w:val="auto"/>
          <w:sz w:val="28"/>
          <w:szCs w:val="28"/>
        </w:rPr>
        <w:t>CONDITIONS</w:t>
      </w:r>
    </w:p>
    <w:p w14:paraId="4ECC8861" w14:textId="77777777" w:rsidR="0031775F" w:rsidRPr="005E0AAA" w:rsidRDefault="0031775F" w:rsidP="0031775F">
      <w:pPr>
        <w:pStyle w:val="NoSpacing"/>
        <w:rPr>
          <w:rFonts w:cstheme="minorHAnsi"/>
        </w:rPr>
      </w:pPr>
    </w:p>
    <w:p w14:paraId="1798C11D" w14:textId="0E2FA320" w:rsidR="0031775F" w:rsidRPr="00386EC7" w:rsidRDefault="003C37C6" w:rsidP="003177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part-time contractor, this position </w:t>
      </w:r>
      <w:r w:rsidR="0031775F" w:rsidRPr="00386EC7">
        <w:rPr>
          <w:rFonts w:cstheme="minorHAnsi"/>
          <w:sz w:val="24"/>
          <w:szCs w:val="24"/>
        </w:rPr>
        <w:t>will be remunerated for an average of 21 hours (3 days) per week</w:t>
      </w:r>
      <w:r w:rsidR="00386EC7">
        <w:rPr>
          <w:rFonts w:cstheme="minorHAnsi"/>
          <w:sz w:val="24"/>
          <w:szCs w:val="24"/>
        </w:rPr>
        <w:t xml:space="preserve"> under a </w:t>
      </w:r>
      <w:r w:rsidR="000D49DA">
        <w:rPr>
          <w:rFonts w:cstheme="minorHAnsi"/>
          <w:sz w:val="24"/>
          <w:szCs w:val="24"/>
        </w:rPr>
        <w:t>3-year term contract with renewal provision at a rate of $63.44 per hour start,</w:t>
      </w:r>
      <w:r w:rsidR="00DA329E">
        <w:rPr>
          <w:rFonts w:cstheme="minorHAnsi"/>
          <w:sz w:val="24"/>
          <w:szCs w:val="24"/>
        </w:rPr>
        <w:t xml:space="preserve"> increasing</w:t>
      </w:r>
      <w:r w:rsidR="000D49DA">
        <w:rPr>
          <w:rFonts w:cstheme="minorHAnsi"/>
          <w:sz w:val="24"/>
          <w:szCs w:val="24"/>
        </w:rPr>
        <w:t xml:space="preserve"> to job rate</w:t>
      </w:r>
      <w:r w:rsidR="00D42860">
        <w:rPr>
          <w:rFonts w:cstheme="minorHAnsi"/>
          <w:sz w:val="24"/>
          <w:szCs w:val="24"/>
        </w:rPr>
        <w:t xml:space="preserve"> of $74.32 per hour.</w:t>
      </w:r>
    </w:p>
    <w:p w14:paraId="1401AF1D" w14:textId="30F6F65F" w:rsidR="00386EC7" w:rsidRDefault="00386EC7" w:rsidP="0031775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 will be required to attend regular meetings in Toronto.</w:t>
      </w:r>
    </w:p>
    <w:p w14:paraId="37AF7409" w14:textId="52934CF5" w:rsidR="00232536" w:rsidRDefault="00232536" w:rsidP="0031775F">
      <w:pPr>
        <w:pStyle w:val="NoSpacing"/>
        <w:rPr>
          <w:rFonts w:cstheme="minorHAnsi"/>
          <w:sz w:val="24"/>
          <w:szCs w:val="24"/>
        </w:rPr>
      </w:pPr>
    </w:p>
    <w:p w14:paraId="38B741F3" w14:textId="2E9A3679" w:rsidR="0031775F" w:rsidRPr="002E657F" w:rsidRDefault="00232536" w:rsidP="009C3575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</w:t>
      </w:r>
      <w:r w:rsidR="0031775F" w:rsidRPr="002E657F">
        <w:rPr>
          <w:rFonts w:asciiTheme="minorHAnsi" w:hAnsiTheme="minorHAnsi"/>
          <w:color w:val="auto"/>
          <w:sz w:val="28"/>
          <w:szCs w:val="28"/>
        </w:rPr>
        <w:t>OCATION</w:t>
      </w:r>
    </w:p>
    <w:p w14:paraId="6969E3F6" w14:textId="77777777" w:rsidR="0031775F" w:rsidRPr="005E0AAA" w:rsidRDefault="0031775F" w:rsidP="0031775F">
      <w:pPr>
        <w:pStyle w:val="NoSpacing"/>
        <w:rPr>
          <w:rFonts w:cstheme="minorHAnsi"/>
        </w:rPr>
      </w:pPr>
    </w:p>
    <w:p w14:paraId="1E5B48A9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>Federation of Ontario Public Libraries (FOPL)</w:t>
      </w:r>
    </w:p>
    <w:p w14:paraId="2EFF2B46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c/o Toronto Reference Library </w:t>
      </w:r>
    </w:p>
    <w:p w14:paraId="0E2BF8E5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789 Yonge Street </w:t>
      </w:r>
    </w:p>
    <w:p w14:paraId="47F82236" w14:textId="77777777" w:rsidR="0031775F" w:rsidRPr="00386EC7" w:rsidRDefault="0031775F" w:rsidP="0031775F">
      <w:pPr>
        <w:pStyle w:val="NoSpacing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Toronto, Ontario M4W 2G8 </w:t>
      </w:r>
    </w:p>
    <w:p w14:paraId="1545543A" w14:textId="77777777" w:rsidR="0031775F" w:rsidRPr="00386EC7" w:rsidRDefault="0031775F" w:rsidP="0031775F">
      <w:pPr>
        <w:spacing w:after="0"/>
        <w:ind w:right="1963"/>
        <w:rPr>
          <w:rFonts w:cstheme="minorHAnsi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E-mail: </w:t>
      </w:r>
      <w:r w:rsidRPr="00386EC7">
        <w:rPr>
          <w:rFonts w:cstheme="minorHAnsi"/>
          <w:sz w:val="24"/>
          <w:szCs w:val="24"/>
          <w:u w:val="single" w:color="000000"/>
        </w:rPr>
        <w:t>admin@fopl.ca</w:t>
      </w:r>
      <w:r w:rsidRPr="00386EC7">
        <w:rPr>
          <w:rFonts w:cstheme="minorHAnsi"/>
          <w:sz w:val="24"/>
          <w:szCs w:val="24"/>
        </w:rPr>
        <w:t xml:space="preserve">, </w:t>
      </w:r>
    </w:p>
    <w:p w14:paraId="12CAC49D" w14:textId="72F61D4C" w:rsidR="0031775F" w:rsidRDefault="0031775F" w:rsidP="0031775F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r w:rsidRPr="00386EC7">
        <w:rPr>
          <w:rFonts w:cstheme="minorHAnsi"/>
          <w:sz w:val="24"/>
          <w:szCs w:val="24"/>
        </w:rPr>
        <w:t xml:space="preserve">Web: </w:t>
      </w:r>
      <w:hyperlink r:id="rId7" w:history="1">
        <w:r w:rsidRPr="00386EC7">
          <w:rPr>
            <w:rStyle w:val="Hyperlink"/>
            <w:rFonts w:cstheme="minorHAnsi"/>
            <w:color w:val="auto"/>
            <w:sz w:val="24"/>
            <w:szCs w:val="24"/>
          </w:rPr>
          <w:t>http://www.fopl.ca</w:t>
        </w:r>
      </w:hyperlink>
    </w:p>
    <w:p w14:paraId="66CEEC23" w14:textId="24B5541F" w:rsidR="00232536" w:rsidRDefault="00232536" w:rsidP="0031775F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5B68F370" w14:textId="77777777" w:rsidR="00232536" w:rsidRDefault="00232536" w:rsidP="0031775F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2F885D9F" w14:textId="6D2878E6" w:rsidR="00232536" w:rsidRPr="00232536" w:rsidRDefault="00232536" w:rsidP="00232536">
      <w:pPr>
        <w:rPr>
          <w:rFonts w:ascii="Cambria" w:hAnsi="Cambria"/>
          <w:sz w:val="28"/>
          <w:szCs w:val="28"/>
        </w:rPr>
      </w:pPr>
      <w:r w:rsidRPr="00232536">
        <w:rPr>
          <w:rFonts w:ascii="Cambria" w:hAnsi="Cambria"/>
          <w:b/>
          <w:bCs/>
          <w:sz w:val="28"/>
          <w:szCs w:val="28"/>
        </w:rPr>
        <w:t>TO APPLY FOR THIS POSITION</w:t>
      </w:r>
    </w:p>
    <w:p w14:paraId="1D7C6299" w14:textId="77777777" w:rsidR="00232536" w:rsidRPr="00232536" w:rsidRDefault="00232536" w:rsidP="00232536">
      <w:pPr>
        <w:pStyle w:val="NoSpacing"/>
        <w:rPr>
          <w:rFonts w:ascii="Cambria" w:hAnsi="Cambria"/>
          <w:sz w:val="24"/>
          <w:szCs w:val="24"/>
        </w:rPr>
      </w:pPr>
      <w:r w:rsidRPr="00232536">
        <w:rPr>
          <w:rFonts w:ascii="Cambria" w:hAnsi="Cambria"/>
          <w:sz w:val="24"/>
          <w:szCs w:val="24"/>
        </w:rPr>
        <w:t xml:space="preserve">Applicants are requested to forward a letter and resume to </w:t>
      </w:r>
      <w:hyperlink r:id="rId8" w:history="1">
        <w:r w:rsidRPr="00232536">
          <w:rPr>
            <w:rStyle w:val="Hyperlink"/>
            <w:rFonts w:ascii="Cambria" w:hAnsi="Cambria"/>
            <w:color w:val="0000FF"/>
            <w:sz w:val="24"/>
            <w:szCs w:val="24"/>
          </w:rPr>
          <w:t>vpl.admin@vaughan.ca</w:t>
        </w:r>
      </w:hyperlink>
      <w:r w:rsidRPr="00232536">
        <w:rPr>
          <w:rFonts w:ascii="Cambria" w:hAnsi="Cambria"/>
          <w:sz w:val="24"/>
          <w:szCs w:val="24"/>
        </w:rPr>
        <w:t xml:space="preserve"> to the attention of  ‘Recruitment Committee’ no later than Friday, April 9, 2021</w:t>
      </w:r>
    </w:p>
    <w:p w14:paraId="47DF4626" w14:textId="77777777" w:rsidR="00232536" w:rsidRPr="00232536" w:rsidRDefault="00232536" w:rsidP="00232536">
      <w:pPr>
        <w:pStyle w:val="NoSpacing"/>
        <w:rPr>
          <w:rFonts w:cstheme="minorHAnsi"/>
          <w:sz w:val="24"/>
          <w:szCs w:val="24"/>
        </w:rPr>
      </w:pPr>
      <w:r w:rsidRPr="00232536">
        <w:rPr>
          <w:rFonts w:cstheme="minorHAnsi"/>
          <w:sz w:val="24"/>
          <w:szCs w:val="24"/>
        </w:rPr>
        <w:t>Interviews will be held Monday, April 19, 2021.</w:t>
      </w:r>
    </w:p>
    <w:p w14:paraId="31DE12EA" w14:textId="77777777" w:rsidR="00232536" w:rsidRPr="00386EC7" w:rsidRDefault="00232536" w:rsidP="0031775F">
      <w:pPr>
        <w:pStyle w:val="NoSpacing"/>
        <w:rPr>
          <w:rFonts w:cstheme="minorHAnsi"/>
          <w:sz w:val="24"/>
          <w:szCs w:val="24"/>
        </w:rPr>
      </w:pPr>
    </w:p>
    <w:p w14:paraId="787D204A" w14:textId="5E08D131" w:rsidR="005172C8" w:rsidRPr="005B2C06" w:rsidRDefault="002A40F6" w:rsidP="002A40F6">
      <w:pPr>
        <w:ind w:firstLine="720"/>
        <w:rPr>
          <w:rFonts w:ascii="Arial" w:hAnsi="Arial" w:cs="Arial"/>
          <w:sz w:val="24"/>
          <w:szCs w:val="24"/>
        </w:rPr>
      </w:pPr>
      <w:r w:rsidRPr="002A40F6">
        <w:rPr>
          <w:sz w:val="24"/>
        </w:rPr>
        <w:t xml:space="preserve"> </w:t>
      </w:r>
    </w:p>
    <w:sectPr w:rsidR="005172C8" w:rsidRPr="005B2C06" w:rsidSect="00CB18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90FB4" w14:textId="77777777" w:rsidR="00293867" w:rsidRDefault="00293867" w:rsidP="00CB1838">
      <w:pPr>
        <w:spacing w:after="0" w:line="240" w:lineRule="auto"/>
      </w:pPr>
      <w:r>
        <w:separator/>
      </w:r>
    </w:p>
  </w:endnote>
  <w:endnote w:type="continuationSeparator" w:id="0">
    <w:p w14:paraId="5B2CE986" w14:textId="77777777" w:rsidR="00293867" w:rsidRDefault="00293867" w:rsidP="00CB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232D" w14:textId="77777777" w:rsidR="00293867" w:rsidRDefault="00293867" w:rsidP="00CB1838">
      <w:pPr>
        <w:spacing w:after="0" w:line="240" w:lineRule="auto"/>
      </w:pPr>
      <w:r>
        <w:separator/>
      </w:r>
    </w:p>
  </w:footnote>
  <w:footnote w:type="continuationSeparator" w:id="0">
    <w:p w14:paraId="3300F24A" w14:textId="77777777" w:rsidR="00293867" w:rsidRDefault="00293867" w:rsidP="00CB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A386" w14:textId="6ACE3212" w:rsidR="00CB1838" w:rsidRDefault="00CB1838" w:rsidP="00CB1838">
    <w:pPr>
      <w:pStyle w:val="Header"/>
      <w:jc w:val="center"/>
    </w:pPr>
    <w:r w:rsidRPr="00623792">
      <w:rPr>
        <w:noProof/>
        <w:lang w:eastAsia="en-CA"/>
      </w:rPr>
      <w:drawing>
        <wp:inline distT="0" distB="0" distL="0" distR="0" wp14:anchorId="0363BC00" wp14:editId="24300F5D">
          <wp:extent cx="324802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143B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4EC0"/>
    <w:multiLevelType w:val="hybridMultilevel"/>
    <w:tmpl w:val="CB8EA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490"/>
    <w:multiLevelType w:val="hybridMultilevel"/>
    <w:tmpl w:val="CE845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5C06"/>
    <w:multiLevelType w:val="hybridMultilevel"/>
    <w:tmpl w:val="2C54037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09053F6C"/>
    <w:multiLevelType w:val="hybridMultilevel"/>
    <w:tmpl w:val="C0F86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36D6"/>
    <w:multiLevelType w:val="hybridMultilevel"/>
    <w:tmpl w:val="8632C5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51DD"/>
    <w:multiLevelType w:val="hybridMultilevel"/>
    <w:tmpl w:val="9948C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74AD"/>
    <w:multiLevelType w:val="hybridMultilevel"/>
    <w:tmpl w:val="DF8E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B2D1D"/>
    <w:multiLevelType w:val="hybridMultilevel"/>
    <w:tmpl w:val="ECE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84C1D"/>
    <w:multiLevelType w:val="hybridMultilevel"/>
    <w:tmpl w:val="4ED8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59A2"/>
    <w:multiLevelType w:val="hybridMultilevel"/>
    <w:tmpl w:val="4620A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E6716"/>
    <w:multiLevelType w:val="hybridMultilevel"/>
    <w:tmpl w:val="24F2A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F0DF1"/>
    <w:multiLevelType w:val="hybridMultilevel"/>
    <w:tmpl w:val="068E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F638D"/>
    <w:multiLevelType w:val="hybridMultilevel"/>
    <w:tmpl w:val="C524A1A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2ADE37C5"/>
    <w:multiLevelType w:val="hybridMultilevel"/>
    <w:tmpl w:val="648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01437E4"/>
    <w:multiLevelType w:val="hybridMultilevel"/>
    <w:tmpl w:val="CE50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7340F"/>
    <w:multiLevelType w:val="hybridMultilevel"/>
    <w:tmpl w:val="DB920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800F7"/>
    <w:multiLevelType w:val="hybridMultilevel"/>
    <w:tmpl w:val="4936E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917EF"/>
    <w:multiLevelType w:val="hybridMultilevel"/>
    <w:tmpl w:val="D97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87194D"/>
    <w:multiLevelType w:val="hybridMultilevel"/>
    <w:tmpl w:val="DFC2A7A2"/>
    <w:lvl w:ilvl="0" w:tplc="B84817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43642473"/>
    <w:multiLevelType w:val="hybridMultilevel"/>
    <w:tmpl w:val="174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E2A61"/>
    <w:multiLevelType w:val="hybridMultilevel"/>
    <w:tmpl w:val="0F10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601F"/>
    <w:multiLevelType w:val="hybridMultilevel"/>
    <w:tmpl w:val="21CAA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66F8E"/>
    <w:multiLevelType w:val="hybridMultilevel"/>
    <w:tmpl w:val="D43C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1407"/>
    <w:multiLevelType w:val="hybridMultilevel"/>
    <w:tmpl w:val="287471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21F27"/>
    <w:multiLevelType w:val="hybridMultilevel"/>
    <w:tmpl w:val="BDCE130C"/>
    <w:lvl w:ilvl="0" w:tplc="7F383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A6477A"/>
    <w:multiLevelType w:val="hybridMultilevel"/>
    <w:tmpl w:val="ABB81C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211DE"/>
    <w:multiLevelType w:val="hybridMultilevel"/>
    <w:tmpl w:val="E7F66DA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39B4"/>
    <w:multiLevelType w:val="hybridMultilevel"/>
    <w:tmpl w:val="E826AB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717D9"/>
    <w:multiLevelType w:val="hybridMultilevel"/>
    <w:tmpl w:val="431E3E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E907B7"/>
    <w:multiLevelType w:val="hybridMultilevel"/>
    <w:tmpl w:val="84925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F643F"/>
    <w:multiLevelType w:val="hybridMultilevel"/>
    <w:tmpl w:val="2AE02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535C"/>
    <w:multiLevelType w:val="hybridMultilevel"/>
    <w:tmpl w:val="5924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B4921"/>
    <w:multiLevelType w:val="hybridMultilevel"/>
    <w:tmpl w:val="1D7EB558"/>
    <w:lvl w:ilvl="0" w:tplc="7F38303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C715EF5"/>
    <w:multiLevelType w:val="hybridMultilevel"/>
    <w:tmpl w:val="70A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6"/>
  </w:num>
  <w:num w:numId="4">
    <w:abstractNumId w:val="29"/>
  </w:num>
  <w:num w:numId="5">
    <w:abstractNumId w:val="28"/>
  </w:num>
  <w:num w:numId="6">
    <w:abstractNumId w:val="40"/>
  </w:num>
  <w:num w:numId="7">
    <w:abstractNumId w:val="23"/>
  </w:num>
  <w:num w:numId="8">
    <w:abstractNumId w:val="19"/>
  </w:num>
  <w:num w:numId="9">
    <w:abstractNumId w:val="16"/>
  </w:num>
  <w:num w:numId="10">
    <w:abstractNumId w:val="34"/>
  </w:num>
  <w:num w:numId="11">
    <w:abstractNumId w:val="37"/>
  </w:num>
  <w:num w:numId="12">
    <w:abstractNumId w:val="11"/>
  </w:num>
  <w:num w:numId="13">
    <w:abstractNumId w:val="33"/>
  </w:num>
  <w:num w:numId="14">
    <w:abstractNumId w:val="42"/>
  </w:num>
  <w:num w:numId="15">
    <w:abstractNumId w:val="4"/>
  </w:num>
  <w:num w:numId="16">
    <w:abstractNumId w:val="41"/>
  </w:num>
  <w:num w:numId="17">
    <w:abstractNumId w:val="18"/>
  </w:num>
  <w:num w:numId="18">
    <w:abstractNumId w:val="39"/>
  </w:num>
  <w:num w:numId="19">
    <w:abstractNumId w:val="38"/>
  </w:num>
  <w:num w:numId="20">
    <w:abstractNumId w:val="2"/>
  </w:num>
  <w:num w:numId="21">
    <w:abstractNumId w:val="6"/>
  </w:num>
  <w:num w:numId="22">
    <w:abstractNumId w:val="12"/>
  </w:num>
  <w:num w:numId="23">
    <w:abstractNumId w:val="1"/>
  </w:num>
  <w:num w:numId="24">
    <w:abstractNumId w:val="5"/>
  </w:num>
  <w:num w:numId="25">
    <w:abstractNumId w:val="43"/>
  </w:num>
  <w:num w:numId="26">
    <w:abstractNumId w:val="35"/>
  </w:num>
  <w:num w:numId="27">
    <w:abstractNumId w:val="32"/>
  </w:num>
  <w:num w:numId="28">
    <w:abstractNumId w:val="21"/>
  </w:num>
  <w:num w:numId="29">
    <w:abstractNumId w:val="31"/>
  </w:num>
  <w:num w:numId="30">
    <w:abstractNumId w:val="0"/>
  </w:num>
  <w:num w:numId="31">
    <w:abstractNumId w:val="14"/>
  </w:num>
  <w:num w:numId="32">
    <w:abstractNumId w:val="24"/>
  </w:num>
  <w:num w:numId="33">
    <w:abstractNumId w:val="17"/>
  </w:num>
  <w:num w:numId="34">
    <w:abstractNumId w:val="8"/>
  </w:num>
  <w:num w:numId="35">
    <w:abstractNumId w:val="26"/>
  </w:num>
  <w:num w:numId="36">
    <w:abstractNumId w:val="44"/>
  </w:num>
  <w:num w:numId="37">
    <w:abstractNumId w:val="3"/>
  </w:num>
  <w:num w:numId="38">
    <w:abstractNumId w:val="15"/>
  </w:num>
  <w:num w:numId="39">
    <w:abstractNumId w:val="25"/>
  </w:num>
  <w:num w:numId="40">
    <w:abstractNumId w:val="22"/>
  </w:num>
  <w:num w:numId="41">
    <w:abstractNumId w:val="10"/>
  </w:num>
  <w:num w:numId="42">
    <w:abstractNumId w:val="13"/>
  </w:num>
  <w:num w:numId="43">
    <w:abstractNumId w:val="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4365"/>
    <w:rsid w:val="00035AE0"/>
    <w:rsid w:val="00051D25"/>
    <w:rsid w:val="00065802"/>
    <w:rsid w:val="00071A00"/>
    <w:rsid w:val="00077A78"/>
    <w:rsid w:val="000921CF"/>
    <w:rsid w:val="000B3821"/>
    <w:rsid w:val="000B75B2"/>
    <w:rsid w:val="000C6241"/>
    <w:rsid w:val="000D49DA"/>
    <w:rsid w:val="000E02FD"/>
    <w:rsid w:val="000F69CB"/>
    <w:rsid w:val="001136EA"/>
    <w:rsid w:val="00146F76"/>
    <w:rsid w:val="00157776"/>
    <w:rsid w:val="00165742"/>
    <w:rsid w:val="00165AAF"/>
    <w:rsid w:val="00170FEC"/>
    <w:rsid w:val="00182530"/>
    <w:rsid w:val="00187AF4"/>
    <w:rsid w:val="00190A01"/>
    <w:rsid w:val="001971B0"/>
    <w:rsid w:val="001C45EC"/>
    <w:rsid w:val="001D2392"/>
    <w:rsid w:val="001D23E5"/>
    <w:rsid w:val="001D3617"/>
    <w:rsid w:val="00224FE8"/>
    <w:rsid w:val="00232536"/>
    <w:rsid w:val="00232A4C"/>
    <w:rsid w:val="002542D4"/>
    <w:rsid w:val="00282014"/>
    <w:rsid w:val="00293867"/>
    <w:rsid w:val="002A40F6"/>
    <w:rsid w:val="002B308D"/>
    <w:rsid w:val="002C0D17"/>
    <w:rsid w:val="002E6564"/>
    <w:rsid w:val="002E657F"/>
    <w:rsid w:val="0031775F"/>
    <w:rsid w:val="00336260"/>
    <w:rsid w:val="00342BA1"/>
    <w:rsid w:val="003472A1"/>
    <w:rsid w:val="00353A9A"/>
    <w:rsid w:val="00356465"/>
    <w:rsid w:val="003607E0"/>
    <w:rsid w:val="003743FC"/>
    <w:rsid w:val="00374DC8"/>
    <w:rsid w:val="003758A4"/>
    <w:rsid w:val="00375B14"/>
    <w:rsid w:val="00386EC7"/>
    <w:rsid w:val="003A1792"/>
    <w:rsid w:val="003A18E5"/>
    <w:rsid w:val="003A2284"/>
    <w:rsid w:val="003A4A8C"/>
    <w:rsid w:val="003B19B3"/>
    <w:rsid w:val="003B33C1"/>
    <w:rsid w:val="003B73D4"/>
    <w:rsid w:val="003C0F0C"/>
    <w:rsid w:val="003C37C6"/>
    <w:rsid w:val="00400B11"/>
    <w:rsid w:val="004306A1"/>
    <w:rsid w:val="004322CD"/>
    <w:rsid w:val="004364E2"/>
    <w:rsid w:val="00457CDF"/>
    <w:rsid w:val="00460342"/>
    <w:rsid w:val="004631A8"/>
    <w:rsid w:val="004640D7"/>
    <w:rsid w:val="00485B7E"/>
    <w:rsid w:val="004916BC"/>
    <w:rsid w:val="004C2CB3"/>
    <w:rsid w:val="004C4CEE"/>
    <w:rsid w:val="004F200E"/>
    <w:rsid w:val="005172C8"/>
    <w:rsid w:val="00520751"/>
    <w:rsid w:val="00537764"/>
    <w:rsid w:val="00552B21"/>
    <w:rsid w:val="00564328"/>
    <w:rsid w:val="0056709A"/>
    <w:rsid w:val="00591DB5"/>
    <w:rsid w:val="005B2C06"/>
    <w:rsid w:val="005C2182"/>
    <w:rsid w:val="005C3313"/>
    <w:rsid w:val="005D6E64"/>
    <w:rsid w:val="005D716E"/>
    <w:rsid w:val="005E2AAF"/>
    <w:rsid w:val="005E4085"/>
    <w:rsid w:val="005E5B59"/>
    <w:rsid w:val="0061792A"/>
    <w:rsid w:val="00617C37"/>
    <w:rsid w:val="006330C2"/>
    <w:rsid w:val="00643086"/>
    <w:rsid w:val="00661C12"/>
    <w:rsid w:val="00663EA8"/>
    <w:rsid w:val="00666640"/>
    <w:rsid w:val="00667565"/>
    <w:rsid w:val="00690287"/>
    <w:rsid w:val="006A439D"/>
    <w:rsid w:val="006C191D"/>
    <w:rsid w:val="006E2141"/>
    <w:rsid w:val="006E5379"/>
    <w:rsid w:val="00700800"/>
    <w:rsid w:val="007012D5"/>
    <w:rsid w:val="0071244C"/>
    <w:rsid w:val="00756665"/>
    <w:rsid w:val="00770392"/>
    <w:rsid w:val="00785C7D"/>
    <w:rsid w:val="007A10C5"/>
    <w:rsid w:val="007B4E30"/>
    <w:rsid w:val="007C0ED6"/>
    <w:rsid w:val="007C55CC"/>
    <w:rsid w:val="007D28B5"/>
    <w:rsid w:val="007D32F8"/>
    <w:rsid w:val="007F4278"/>
    <w:rsid w:val="007F53B4"/>
    <w:rsid w:val="00801379"/>
    <w:rsid w:val="0080257E"/>
    <w:rsid w:val="00813B11"/>
    <w:rsid w:val="008510F2"/>
    <w:rsid w:val="00866F43"/>
    <w:rsid w:val="00870715"/>
    <w:rsid w:val="0087317D"/>
    <w:rsid w:val="008737EF"/>
    <w:rsid w:val="00880E2C"/>
    <w:rsid w:val="00881A3E"/>
    <w:rsid w:val="008933C2"/>
    <w:rsid w:val="00896F89"/>
    <w:rsid w:val="008A10C4"/>
    <w:rsid w:val="008B0882"/>
    <w:rsid w:val="008C22A2"/>
    <w:rsid w:val="008E1244"/>
    <w:rsid w:val="008F2D42"/>
    <w:rsid w:val="0091050E"/>
    <w:rsid w:val="00910E2E"/>
    <w:rsid w:val="00913E35"/>
    <w:rsid w:val="00916CF3"/>
    <w:rsid w:val="00947978"/>
    <w:rsid w:val="00953D00"/>
    <w:rsid w:val="0095512A"/>
    <w:rsid w:val="009622FA"/>
    <w:rsid w:val="0097765A"/>
    <w:rsid w:val="00984F79"/>
    <w:rsid w:val="00993D9D"/>
    <w:rsid w:val="009A522D"/>
    <w:rsid w:val="009C3575"/>
    <w:rsid w:val="009D26DE"/>
    <w:rsid w:val="009D6DFD"/>
    <w:rsid w:val="009E68FD"/>
    <w:rsid w:val="009F3803"/>
    <w:rsid w:val="00A10BB9"/>
    <w:rsid w:val="00A36618"/>
    <w:rsid w:val="00A37393"/>
    <w:rsid w:val="00A40702"/>
    <w:rsid w:val="00A46DF4"/>
    <w:rsid w:val="00A54225"/>
    <w:rsid w:val="00A549B3"/>
    <w:rsid w:val="00A65EB5"/>
    <w:rsid w:val="00A934E4"/>
    <w:rsid w:val="00AA07A7"/>
    <w:rsid w:val="00AB7567"/>
    <w:rsid w:val="00AD2B79"/>
    <w:rsid w:val="00AD3970"/>
    <w:rsid w:val="00B12B72"/>
    <w:rsid w:val="00B2583C"/>
    <w:rsid w:val="00B25E3D"/>
    <w:rsid w:val="00B4221B"/>
    <w:rsid w:val="00B5271D"/>
    <w:rsid w:val="00B536BB"/>
    <w:rsid w:val="00B54A92"/>
    <w:rsid w:val="00B61057"/>
    <w:rsid w:val="00B705CB"/>
    <w:rsid w:val="00B723E1"/>
    <w:rsid w:val="00B7534B"/>
    <w:rsid w:val="00B8032D"/>
    <w:rsid w:val="00BB2E9F"/>
    <w:rsid w:val="00BB3D7B"/>
    <w:rsid w:val="00BE10F6"/>
    <w:rsid w:val="00BE11AC"/>
    <w:rsid w:val="00BE17BD"/>
    <w:rsid w:val="00BE2FF8"/>
    <w:rsid w:val="00BE3A12"/>
    <w:rsid w:val="00BE7E79"/>
    <w:rsid w:val="00C020E5"/>
    <w:rsid w:val="00C20C18"/>
    <w:rsid w:val="00C2472B"/>
    <w:rsid w:val="00C317CF"/>
    <w:rsid w:val="00C33EC9"/>
    <w:rsid w:val="00C5267C"/>
    <w:rsid w:val="00C53E9B"/>
    <w:rsid w:val="00C564EA"/>
    <w:rsid w:val="00C568B0"/>
    <w:rsid w:val="00C61E23"/>
    <w:rsid w:val="00C61EA7"/>
    <w:rsid w:val="00C62EB3"/>
    <w:rsid w:val="00C94F80"/>
    <w:rsid w:val="00C95D18"/>
    <w:rsid w:val="00CA1F08"/>
    <w:rsid w:val="00CA7823"/>
    <w:rsid w:val="00CB1838"/>
    <w:rsid w:val="00CB7802"/>
    <w:rsid w:val="00D042BB"/>
    <w:rsid w:val="00D24A3A"/>
    <w:rsid w:val="00D42860"/>
    <w:rsid w:val="00D42ED9"/>
    <w:rsid w:val="00D638C8"/>
    <w:rsid w:val="00D6445B"/>
    <w:rsid w:val="00D651C9"/>
    <w:rsid w:val="00DA329E"/>
    <w:rsid w:val="00DC18BD"/>
    <w:rsid w:val="00DC38D8"/>
    <w:rsid w:val="00DC4666"/>
    <w:rsid w:val="00DD0EAD"/>
    <w:rsid w:val="00DF127F"/>
    <w:rsid w:val="00DF750D"/>
    <w:rsid w:val="00E01E84"/>
    <w:rsid w:val="00E03DF2"/>
    <w:rsid w:val="00E07EA1"/>
    <w:rsid w:val="00E11887"/>
    <w:rsid w:val="00E311AA"/>
    <w:rsid w:val="00E4106E"/>
    <w:rsid w:val="00E4135D"/>
    <w:rsid w:val="00E532AC"/>
    <w:rsid w:val="00E57EBC"/>
    <w:rsid w:val="00E625A2"/>
    <w:rsid w:val="00E8641B"/>
    <w:rsid w:val="00E86C10"/>
    <w:rsid w:val="00EE458B"/>
    <w:rsid w:val="00EE5275"/>
    <w:rsid w:val="00F07A19"/>
    <w:rsid w:val="00F07E78"/>
    <w:rsid w:val="00F26EE6"/>
    <w:rsid w:val="00F34F06"/>
    <w:rsid w:val="00F426B6"/>
    <w:rsid w:val="00F56027"/>
    <w:rsid w:val="00F5710D"/>
    <w:rsid w:val="00F71E0C"/>
    <w:rsid w:val="00F7742F"/>
    <w:rsid w:val="00F77F5B"/>
    <w:rsid w:val="00F839E1"/>
    <w:rsid w:val="00F90A3E"/>
    <w:rsid w:val="00F91675"/>
    <w:rsid w:val="00FA2E50"/>
    <w:rsid w:val="00FA5704"/>
    <w:rsid w:val="00FB5EA4"/>
    <w:rsid w:val="00FC0FA7"/>
    <w:rsid w:val="00FE2098"/>
    <w:rsid w:val="00FE5E2E"/>
    <w:rsid w:val="00FF395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EB58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  <w:style w:type="paragraph" w:styleId="NoSpacing">
    <w:name w:val="No Spacing"/>
    <w:uiPriority w:val="1"/>
    <w:qFormat/>
    <w:rsid w:val="003743FC"/>
    <w:pPr>
      <w:spacing w:after="0" w:line="240" w:lineRule="auto"/>
    </w:pPr>
    <w:rPr>
      <w:lang w:val="en-CA"/>
    </w:rPr>
  </w:style>
  <w:style w:type="paragraph" w:styleId="BodyText">
    <w:name w:val="Body Text"/>
    <w:basedOn w:val="Normal"/>
    <w:link w:val="BodyTextChar"/>
    <w:uiPriority w:val="1"/>
    <w:qFormat/>
    <w:rsid w:val="004364E2"/>
    <w:pPr>
      <w:widowControl w:val="0"/>
      <w:spacing w:after="0" w:line="240" w:lineRule="auto"/>
      <w:ind w:left="100"/>
    </w:pPr>
    <w:rPr>
      <w:rFonts w:ascii="Arial" w:eastAsia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364E2"/>
    <w:rPr>
      <w:rFonts w:ascii="Arial" w:eastAsia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95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6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paragraph" w:styleId="List">
    <w:name w:val="List"/>
    <w:basedOn w:val="Normal"/>
    <w:uiPriority w:val="99"/>
    <w:unhideWhenUsed/>
    <w:rsid w:val="00C564EA"/>
    <w:pPr>
      <w:ind w:left="283" w:hanging="283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C56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C564EA"/>
    <w:rPr>
      <w:rFonts w:asciiTheme="majorHAnsi" w:eastAsiaTheme="majorEastAsia" w:hAnsiTheme="majorHAnsi" w:cstheme="majorBidi"/>
      <w:sz w:val="24"/>
      <w:szCs w:val="24"/>
      <w:shd w:val="pct20" w:color="auto" w:fill="auto"/>
      <w:lang w:val="en-CA"/>
    </w:rPr>
  </w:style>
  <w:style w:type="paragraph" w:styleId="ListBullet">
    <w:name w:val="List Bullet"/>
    <w:basedOn w:val="Normal"/>
    <w:uiPriority w:val="99"/>
    <w:unhideWhenUsed/>
    <w:rsid w:val="00C564EA"/>
    <w:pPr>
      <w:numPr>
        <w:numId w:val="3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3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B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38"/>
    <w:rPr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l.admin@vaugha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p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Helen Morrison</cp:lastModifiedBy>
  <cp:revision>2</cp:revision>
  <cp:lastPrinted>2021-03-18T14:57:00Z</cp:lastPrinted>
  <dcterms:created xsi:type="dcterms:W3CDTF">2021-03-19T13:24:00Z</dcterms:created>
  <dcterms:modified xsi:type="dcterms:W3CDTF">2021-03-19T13:24:00Z</dcterms:modified>
</cp:coreProperties>
</file>