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2D" w:rsidRPr="00581ECE" w:rsidRDefault="00E64395" w:rsidP="00581ECE">
      <w:pPr>
        <w:jc w:val="center"/>
        <w:rPr>
          <w:b/>
          <w:sz w:val="32"/>
        </w:rPr>
      </w:pPr>
      <w:r w:rsidRPr="00581ECE">
        <w:rPr>
          <w:b/>
          <w:sz w:val="32"/>
        </w:rPr>
        <w:t>Valuing Northern Libraries</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 xml:space="preserve">The OLS-North Nordik Institute / Algoma University </w:t>
      </w:r>
      <w:r w:rsidRPr="00581ECE">
        <w:rPr>
          <w:rFonts w:ascii="Arial" w:hAnsi="Arial" w:cs="Arial"/>
          <w:b/>
          <w:i/>
          <w:sz w:val="24"/>
          <w:szCs w:val="24"/>
          <w:lang w:eastAsia="en-CA"/>
        </w:rPr>
        <w:t>Valuing Northern Libraries</w:t>
      </w:r>
      <w:r w:rsidR="00581ECE">
        <w:rPr>
          <w:rFonts w:ascii="Arial" w:hAnsi="Arial" w:cs="Arial"/>
          <w:sz w:val="24"/>
          <w:szCs w:val="24"/>
          <w:lang w:eastAsia="en-CA"/>
        </w:rPr>
        <w:t xml:space="preserve"> T</w:t>
      </w:r>
      <w:r w:rsidRPr="00581ECE">
        <w:rPr>
          <w:rFonts w:ascii="Arial" w:hAnsi="Arial" w:cs="Arial"/>
          <w:sz w:val="24"/>
          <w:szCs w:val="24"/>
          <w:lang w:eastAsia="en-CA"/>
        </w:rPr>
        <w:t xml:space="preserve">oolkit has the pilot report out!  And they’re awesome! </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Learn more about the Toolkit here.  It is free to use and works for any library – not just northern ones and focuses on economic and social ROI of public libraries.  Here’s a link to the toolkit:</w:t>
      </w:r>
      <w:r w:rsidR="00581ECE">
        <w:rPr>
          <w:rFonts w:ascii="Arial" w:hAnsi="Arial" w:cs="Arial"/>
          <w:sz w:val="24"/>
          <w:szCs w:val="24"/>
          <w:lang w:eastAsia="en-CA"/>
        </w:rPr>
        <w:t xml:space="preserve"> </w:t>
      </w:r>
      <w:r w:rsidRPr="00581ECE">
        <w:rPr>
          <w:rFonts w:ascii="Arial" w:hAnsi="Arial" w:cs="Arial"/>
          <w:sz w:val="24"/>
          <w:szCs w:val="24"/>
          <w:lang w:eastAsia="en-CA"/>
        </w:rPr>
        <w:t> </w:t>
      </w:r>
      <w:hyperlink r:id="rId5" w:history="1">
        <w:r w:rsidRPr="00581ECE">
          <w:rPr>
            <w:rFonts w:ascii="Arial" w:hAnsi="Arial" w:cs="Arial"/>
            <w:sz w:val="24"/>
            <w:szCs w:val="24"/>
            <w:u w:val="single"/>
            <w:bdr w:val="none" w:sz="0" w:space="0" w:color="auto" w:frame="1"/>
            <w:lang w:eastAsia="en-CA"/>
          </w:rPr>
          <w:t>http://fopl.ca/news/valuing-northern-libraries-toolkit/</w:t>
        </w:r>
      </w:hyperlink>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 xml:space="preserve">Here are the first </w:t>
      </w:r>
      <w:r w:rsidR="004E4F5F">
        <w:rPr>
          <w:rFonts w:ascii="Arial" w:hAnsi="Arial" w:cs="Arial"/>
          <w:sz w:val="24"/>
          <w:szCs w:val="24"/>
          <w:lang w:eastAsia="en-CA"/>
        </w:rPr>
        <w:t>six</w:t>
      </w:r>
      <w:r w:rsidRPr="00581ECE">
        <w:rPr>
          <w:rFonts w:ascii="Arial" w:hAnsi="Arial" w:cs="Arial"/>
          <w:sz w:val="24"/>
          <w:szCs w:val="24"/>
          <w:lang w:eastAsia="en-CA"/>
        </w:rPr>
        <w:t xml:space="preserve"> pilot reports:</w:t>
      </w:r>
    </w:p>
    <w:p w:rsidR="004E4F5F" w:rsidRPr="004E4F5F" w:rsidRDefault="00E64395" w:rsidP="004E4F5F">
      <w:pPr>
        <w:pStyle w:val="NoSpacing"/>
        <w:numPr>
          <w:ilvl w:val="0"/>
          <w:numId w:val="10"/>
        </w:numPr>
        <w:rPr>
          <w:rFonts w:ascii="Arial" w:hAnsi="Arial" w:cs="Arial"/>
          <w:sz w:val="24"/>
          <w:bdr w:val="none" w:sz="0" w:space="0" w:color="auto" w:frame="1"/>
          <w:lang w:eastAsia="en-CA"/>
        </w:rPr>
      </w:pPr>
      <w:r w:rsidRPr="004E4F5F">
        <w:rPr>
          <w:rFonts w:ascii="Arial" w:hAnsi="Arial" w:cs="Arial"/>
          <w:sz w:val="24"/>
          <w:lang w:eastAsia="en-CA"/>
        </w:rPr>
        <w:t>Valuing Northern Libraries Community Report</w:t>
      </w:r>
      <w:r w:rsidR="004E4F5F" w:rsidRPr="004E4F5F">
        <w:rPr>
          <w:rFonts w:ascii="Arial" w:hAnsi="Arial" w:cs="Arial"/>
          <w:sz w:val="24"/>
          <w:lang w:eastAsia="en-CA"/>
        </w:rPr>
        <w:t xml:space="preserve"> </w:t>
      </w:r>
      <w:hyperlink r:id="rId6" w:tgtFrame="_blank" w:tooltip="Wikwemiking final community report (1)" w:history="1">
        <w:r w:rsidR="004E4F5F" w:rsidRPr="004E4F5F">
          <w:rPr>
            <w:rFonts w:ascii="Arial" w:hAnsi="Arial" w:cs="Arial"/>
            <w:sz w:val="24"/>
            <w:u w:val="single"/>
            <w:bdr w:val="none" w:sz="0" w:space="0" w:color="auto" w:frame="1"/>
            <w:lang w:eastAsia="en-CA"/>
          </w:rPr>
          <w:t>Wikwemikong final community report (1)</w:t>
        </w:r>
      </w:hyperlink>
      <w:r w:rsidR="004E4F5F" w:rsidRPr="004E4F5F">
        <w:rPr>
          <w:rFonts w:ascii="Arial" w:hAnsi="Arial" w:cs="Arial"/>
          <w:sz w:val="24"/>
          <w:bdr w:val="none" w:sz="0" w:space="0" w:color="auto" w:frame="1"/>
          <w:lang w:eastAsia="en-CA"/>
        </w:rPr>
        <w:t> </w:t>
      </w:r>
    </w:p>
    <w:p w:rsidR="00E64395" w:rsidRPr="004E4F5F" w:rsidRDefault="00E64395" w:rsidP="004E4F5F">
      <w:pPr>
        <w:pStyle w:val="NoSpacing"/>
        <w:ind w:left="720"/>
        <w:rPr>
          <w:rFonts w:ascii="Arial" w:hAnsi="Arial" w:cs="Arial"/>
          <w:sz w:val="24"/>
          <w:lang w:eastAsia="en-CA"/>
        </w:rPr>
      </w:pPr>
      <w:r w:rsidRPr="004E4F5F">
        <w:rPr>
          <w:rFonts w:ascii="Arial" w:hAnsi="Arial" w:cs="Arial"/>
          <w:sz w:val="24"/>
          <w:lang w:eastAsia="en-CA"/>
        </w:rPr>
        <w:t>Wikwemikong First Nation Public Library</w:t>
      </w:r>
      <w:r w:rsidRPr="004E4F5F">
        <w:rPr>
          <w:rFonts w:ascii="Arial" w:hAnsi="Arial" w:cs="Arial"/>
          <w:sz w:val="24"/>
          <w:lang w:eastAsia="en-CA"/>
        </w:rPr>
        <w:br/>
        <w:t>Social Return on Investment</w:t>
      </w:r>
    </w:p>
    <w:p w:rsidR="004E4F5F" w:rsidRPr="004E4F5F" w:rsidRDefault="00E64395" w:rsidP="004E4F5F">
      <w:pPr>
        <w:pStyle w:val="NoSpacing"/>
        <w:numPr>
          <w:ilvl w:val="0"/>
          <w:numId w:val="10"/>
        </w:numPr>
        <w:rPr>
          <w:rFonts w:ascii="Arial" w:hAnsi="Arial" w:cs="Arial"/>
          <w:sz w:val="24"/>
          <w:bdr w:val="none" w:sz="0" w:space="0" w:color="auto" w:frame="1"/>
          <w:lang w:eastAsia="en-CA"/>
        </w:rPr>
      </w:pPr>
      <w:r w:rsidRPr="004E4F5F">
        <w:rPr>
          <w:rFonts w:ascii="Arial" w:hAnsi="Arial" w:cs="Arial"/>
          <w:sz w:val="24"/>
          <w:lang w:eastAsia="en-CA"/>
        </w:rPr>
        <w:t>Valuing Northern Libraries Community Report</w:t>
      </w:r>
      <w:r w:rsidR="004E4F5F" w:rsidRPr="004E4F5F">
        <w:rPr>
          <w:rFonts w:ascii="Arial" w:hAnsi="Arial" w:cs="Arial"/>
          <w:sz w:val="24"/>
          <w:lang w:eastAsia="en-CA"/>
        </w:rPr>
        <w:t xml:space="preserve"> </w:t>
      </w:r>
      <w:hyperlink r:id="rId7" w:tgtFrame="_blank" w:tooltip="Kenora final community report" w:history="1">
        <w:r w:rsidR="004E4F5F" w:rsidRPr="004E4F5F">
          <w:rPr>
            <w:rFonts w:ascii="Arial" w:hAnsi="Arial" w:cs="Arial"/>
            <w:sz w:val="24"/>
            <w:u w:val="single"/>
            <w:bdr w:val="none" w:sz="0" w:space="0" w:color="auto" w:frame="1"/>
            <w:lang w:eastAsia="en-CA"/>
          </w:rPr>
          <w:t>Kenora final community report</w:t>
        </w:r>
      </w:hyperlink>
      <w:r w:rsidR="004E4F5F" w:rsidRPr="004E4F5F">
        <w:rPr>
          <w:rFonts w:ascii="Arial" w:hAnsi="Arial" w:cs="Arial"/>
          <w:sz w:val="24"/>
          <w:bdr w:val="none" w:sz="0" w:space="0" w:color="auto" w:frame="1"/>
          <w:lang w:eastAsia="en-CA"/>
        </w:rPr>
        <w:t> </w:t>
      </w:r>
    </w:p>
    <w:p w:rsidR="00E64395" w:rsidRPr="004E4F5F" w:rsidRDefault="00E64395" w:rsidP="004E4F5F">
      <w:pPr>
        <w:pStyle w:val="NoSpacing"/>
        <w:ind w:left="720"/>
        <w:rPr>
          <w:rFonts w:ascii="Arial" w:hAnsi="Arial" w:cs="Arial"/>
          <w:sz w:val="24"/>
          <w:lang w:eastAsia="en-CA"/>
        </w:rPr>
      </w:pPr>
      <w:r w:rsidRPr="004E4F5F">
        <w:rPr>
          <w:rFonts w:ascii="Arial" w:hAnsi="Arial" w:cs="Arial"/>
          <w:sz w:val="24"/>
          <w:lang w:eastAsia="en-CA"/>
        </w:rPr>
        <w:t>Kenora Public Library</w:t>
      </w:r>
      <w:r w:rsidRPr="004E4F5F">
        <w:rPr>
          <w:rFonts w:ascii="Arial" w:hAnsi="Arial" w:cs="Arial"/>
          <w:sz w:val="24"/>
          <w:lang w:eastAsia="en-CA"/>
        </w:rPr>
        <w:br/>
        <w:t>Social Return on Investment</w:t>
      </w:r>
      <w:r w:rsidR="004E4F5F" w:rsidRPr="004E4F5F">
        <w:rPr>
          <w:rFonts w:ascii="Arial" w:hAnsi="Arial" w:cs="Arial"/>
          <w:sz w:val="24"/>
          <w:lang w:eastAsia="en-CA"/>
        </w:rPr>
        <w:t xml:space="preserve"> </w:t>
      </w:r>
    </w:p>
    <w:p w:rsidR="00E64395" w:rsidRPr="004E4F5F" w:rsidRDefault="00E64395" w:rsidP="004E4F5F">
      <w:pPr>
        <w:pStyle w:val="NoSpacing"/>
        <w:numPr>
          <w:ilvl w:val="0"/>
          <w:numId w:val="10"/>
        </w:numPr>
        <w:rPr>
          <w:rFonts w:ascii="Arial" w:hAnsi="Arial" w:cs="Arial"/>
          <w:sz w:val="24"/>
          <w:lang w:eastAsia="en-CA"/>
        </w:rPr>
      </w:pPr>
      <w:r w:rsidRPr="004E4F5F">
        <w:rPr>
          <w:rFonts w:ascii="Arial" w:hAnsi="Arial" w:cs="Arial"/>
          <w:sz w:val="24"/>
          <w:lang w:eastAsia="en-CA"/>
        </w:rPr>
        <w:t>Valuing Northern Libraries Community Report</w:t>
      </w:r>
      <w:r w:rsidR="004E4F5F" w:rsidRPr="004E4F5F">
        <w:rPr>
          <w:rFonts w:ascii="Arial" w:hAnsi="Arial" w:cs="Arial"/>
          <w:sz w:val="24"/>
          <w:lang w:eastAsia="en-CA"/>
        </w:rPr>
        <w:t xml:space="preserve"> </w:t>
      </w:r>
      <w:hyperlink r:id="rId8" w:tgtFrame="_blank" w:tooltip="Community report dryden (2)" w:history="1">
        <w:r w:rsidR="004E4F5F" w:rsidRPr="004E4F5F">
          <w:rPr>
            <w:rFonts w:ascii="Arial" w:hAnsi="Arial" w:cs="Arial"/>
            <w:sz w:val="24"/>
            <w:u w:val="single"/>
            <w:bdr w:val="none" w:sz="0" w:space="0" w:color="auto" w:frame="1"/>
            <w:lang w:eastAsia="en-CA"/>
          </w:rPr>
          <w:t>Community report Dryden (2)</w:t>
        </w:r>
      </w:hyperlink>
      <w:r w:rsidR="004E4F5F" w:rsidRPr="004E4F5F">
        <w:rPr>
          <w:rFonts w:ascii="Arial" w:hAnsi="Arial" w:cs="Arial"/>
          <w:sz w:val="24"/>
          <w:bdr w:val="none" w:sz="0" w:space="0" w:color="auto" w:frame="1"/>
          <w:lang w:eastAsia="en-CA"/>
        </w:rPr>
        <w:t> </w:t>
      </w:r>
    </w:p>
    <w:p w:rsidR="00E64395" w:rsidRPr="004E4F5F" w:rsidRDefault="00E64395" w:rsidP="004E4F5F">
      <w:pPr>
        <w:pStyle w:val="NoSpacing"/>
        <w:ind w:left="720"/>
        <w:rPr>
          <w:rFonts w:ascii="Arial" w:hAnsi="Arial" w:cs="Arial"/>
          <w:sz w:val="24"/>
          <w:lang w:eastAsia="en-CA"/>
        </w:rPr>
      </w:pPr>
      <w:r w:rsidRPr="004E4F5F">
        <w:rPr>
          <w:rFonts w:ascii="Arial" w:hAnsi="Arial" w:cs="Arial"/>
          <w:sz w:val="24"/>
          <w:lang w:eastAsia="en-CA"/>
        </w:rPr>
        <w:t>Social Return on Investment</w:t>
      </w:r>
      <w:r w:rsidRPr="004E4F5F">
        <w:rPr>
          <w:rFonts w:ascii="Arial" w:hAnsi="Arial" w:cs="Arial"/>
          <w:sz w:val="24"/>
          <w:lang w:eastAsia="en-CA"/>
        </w:rPr>
        <w:br/>
        <w:t>Dryden Public Library</w:t>
      </w:r>
    </w:p>
    <w:p w:rsidR="004E4F5F" w:rsidRPr="004E4F5F" w:rsidRDefault="00E64395" w:rsidP="004E4F5F">
      <w:pPr>
        <w:pStyle w:val="NoSpacing"/>
        <w:numPr>
          <w:ilvl w:val="0"/>
          <w:numId w:val="10"/>
        </w:numPr>
        <w:rPr>
          <w:rFonts w:ascii="Arial" w:hAnsi="Arial" w:cs="Arial"/>
          <w:sz w:val="24"/>
          <w:bdr w:val="none" w:sz="0" w:space="0" w:color="auto" w:frame="1"/>
          <w:lang w:eastAsia="en-CA"/>
        </w:rPr>
      </w:pPr>
      <w:r w:rsidRPr="004E4F5F">
        <w:rPr>
          <w:rFonts w:ascii="Arial" w:hAnsi="Arial" w:cs="Arial"/>
          <w:sz w:val="24"/>
          <w:lang w:eastAsia="en-CA"/>
        </w:rPr>
        <w:t>Valuing Northern Libraries Community Report</w:t>
      </w:r>
      <w:r w:rsidR="004E4F5F" w:rsidRPr="004E4F5F">
        <w:rPr>
          <w:rFonts w:ascii="Arial" w:hAnsi="Arial" w:cs="Arial"/>
          <w:sz w:val="24"/>
          <w:lang w:eastAsia="en-CA"/>
        </w:rPr>
        <w:t xml:space="preserve"> </w:t>
      </w:r>
      <w:hyperlink r:id="rId9" w:tgtFrame="_blank" w:tooltip="Powassan final community report (1)" w:history="1">
        <w:r w:rsidR="004E4F5F" w:rsidRPr="004E4F5F">
          <w:rPr>
            <w:rFonts w:ascii="Arial" w:hAnsi="Arial" w:cs="Arial"/>
            <w:sz w:val="24"/>
            <w:u w:val="single"/>
            <w:bdr w:val="none" w:sz="0" w:space="0" w:color="auto" w:frame="1"/>
            <w:lang w:eastAsia="en-CA"/>
          </w:rPr>
          <w:t>Powassan final community report (1)</w:t>
        </w:r>
      </w:hyperlink>
      <w:r w:rsidR="004E4F5F" w:rsidRPr="004E4F5F">
        <w:rPr>
          <w:rFonts w:ascii="Arial" w:hAnsi="Arial" w:cs="Arial"/>
          <w:sz w:val="24"/>
          <w:bdr w:val="none" w:sz="0" w:space="0" w:color="auto" w:frame="1"/>
          <w:lang w:eastAsia="en-CA"/>
        </w:rPr>
        <w:t> </w:t>
      </w:r>
    </w:p>
    <w:p w:rsidR="00E64395" w:rsidRPr="004E4F5F" w:rsidRDefault="00E64395" w:rsidP="004E4F5F">
      <w:pPr>
        <w:pStyle w:val="NoSpacing"/>
        <w:ind w:left="720"/>
        <w:rPr>
          <w:rFonts w:ascii="Arial" w:hAnsi="Arial" w:cs="Arial"/>
          <w:sz w:val="24"/>
          <w:lang w:eastAsia="en-CA"/>
        </w:rPr>
      </w:pPr>
      <w:r w:rsidRPr="004E4F5F">
        <w:rPr>
          <w:rFonts w:ascii="Arial" w:hAnsi="Arial" w:cs="Arial"/>
          <w:sz w:val="24"/>
          <w:lang w:eastAsia="en-CA"/>
        </w:rPr>
        <w:t>Powassan and District Union Public Library</w:t>
      </w:r>
      <w:r w:rsidRPr="004E4F5F">
        <w:rPr>
          <w:rFonts w:ascii="Arial" w:hAnsi="Arial" w:cs="Arial"/>
          <w:sz w:val="24"/>
          <w:lang w:eastAsia="en-CA"/>
        </w:rPr>
        <w:br/>
        <w:t>Social Return on Investment</w:t>
      </w:r>
    </w:p>
    <w:p w:rsidR="004E4F5F" w:rsidRPr="004E4F5F" w:rsidRDefault="00E64395" w:rsidP="004E4F5F">
      <w:pPr>
        <w:pStyle w:val="NoSpacing"/>
        <w:numPr>
          <w:ilvl w:val="0"/>
          <w:numId w:val="10"/>
        </w:numPr>
        <w:rPr>
          <w:rFonts w:ascii="Arial" w:hAnsi="Arial" w:cs="Arial"/>
          <w:sz w:val="24"/>
          <w:lang w:eastAsia="en-CA"/>
        </w:rPr>
      </w:pPr>
      <w:r w:rsidRPr="004E4F5F">
        <w:rPr>
          <w:rFonts w:ascii="Arial" w:hAnsi="Arial" w:cs="Arial"/>
          <w:sz w:val="24"/>
          <w:lang w:eastAsia="en-CA"/>
        </w:rPr>
        <w:t>Valuing Northern Libraries Sample Community Report</w:t>
      </w:r>
      <w:r w:rsidR="004E4F5F" w:rsidRPr="004E4F5F">
        <w:rPr>
          <w:rFonts w:ascii="Arial" w:hAnsi="Arial" w:cs="Arial"/>
          <w:sz w:val="24"/>
          <w:lang w:eastAsia="en-CA"/>
        </w:rPr>
        <w:t xml:space="preserve"> </w:t>
      </w:r>
      <w:hyperlink r:id="rId10" w:tgtFrame="_blank" w:tooltip="Temiskaming shores final community report" w:history="1">
        <w:r w:rsidR="004E4F5F" w:rsidRPr="004E4F5F">
          <w:rPr>
            <w:rFonts w:ascii="Arial" w:hAnsi="Arial" w:cs="Arial"/>
            <w:sz w:val="24"/>
            <w:u w:val="single"/>
            <w:bdr w:val="none" w:sz="0" w:space="0" w:color="auto" w:frame="1"/>
            <w:lang w:eastAsia="en-CA"/>
          </w:rPr>
          <w:t>Temiskaming shores final community report</w:t>
        </w:r>
      </w:hyperlink>
      <w:r w:rsidR="004E4F5F" w:rsidRPr="004E4F5F">
        <w:rPr>
          <w:rFonts w:ascii="Arial" w:hAnsi="Arial" w:cs="Arial"/>
          <w:sz w:val="24"/>
          <w:bdr w:val="none" w:sz="0" w:space="0" w:color="auto" w:frame="1"/>
          <w:lang w:eastAsia="en-CA"/>
        </w:rPr>
        <w:t> </w:t>
      </w:r>
      <w:r w:rsidR="004E4F5F" w:rsidRPr="004E4F5F">
        <w:rPr>
          <w:rFonts w:ascii="Arial" w:hAnsi="Arial" w:cs="Arial"/>
          <w:sz w:val="24"/>
          <w:lang w:eastAsia="en-CA"/>
        </w:rPr>
        <w:t xml:space="preserve"> </w:t>
      </w:r>
    </w:p>
    <w:p w:rsidR="00E64395" w:rsidRPr="004E4F5F" w:rsidRDefault="00E64395" w:rsidP="004E4F5F">
      <w:pPr>
        <w:pStyle w:val="NoSpacing"/>
        <w:ind w:left="720"/>
        <w:rPr>
          <w:rFonts w:ascii="Arial" w:hAnsi="Arial" w:cs="Arial"/>
          <w:sz w:val="24"/>
          <w:lang w:eastAsia="en-CA"/>
        </w:rPr>
      </w:pPr>
      <w:r w:rsidRPr="004E4F5F">
        <w:rPr>
          <w:rFonts w:ascii="Arial" w:hAnsi="Arial" w:cs="Arial"/>
          <w:sz w:val="24"/>
          <w:lang w:eastAsia="en-CA"/>
        </w:rPr>
        <w:t>Temiskaming Shores Public Library</w:t>
      </w:r>
      <w:r w:rsidRPr="004E4F5F">
        <w:rPr>
          <w:rFonts w:ascii="Arial" w:hAnsi="Arial" w:cs="Arial"/>
          <w:sz w:val="24"/>
          <w:lang w:eastAsia="en-CA"/>
        </w:rPr>
        <w:br/>
        <w:t>Social Return on Investment </w:t>
      </w:r>
    </w:p>
    <w:p w:rsidR="00581ECE" w:rsidRPr="004E4F5F" w:rsidRDefault="00581ECE" w:rsidP="004E4F5F">
      <w:pPr>
        <w:pStyle w:val="NoSpacing"/>
        <w:numPr>
          <w:ilvl w:val="0"/>
          <w:numId w:val="10"/>
        </w:numPr>
        <w:rPr>
          <w:rFonts w:ascii="Arial" w:hAnsi="Arial" w:cs="Arial"/>
          <w:sz w:val="24"/>
          <w:lang w:eastAsia="en-CA"/>
        </w:rPr>
      </w:pPr>
      <w:r w:rsidRPr="004E4F5F">
        <w:rPr>
          <w:rFonts w:ascii="Arial" w:hAnsi="Arial" w:cs="Arial"/>
          <w:sz w:val="24"/>
          <w:lang w:eastAsia="en-CA"/>
        </w:rPr>
        <w:t>Valuing Northern Libraries Sample Community Report</w:t>
      </w:r>
      <w:r w:rsidRPr="004E4F5F">
        <w:rPr>
          <w:rFonts w:ascii="Arial" w:hAnsi="Arial" w:cs="Arial"/>
          <w:sz w:val="24"/>
          <w:lang w:eastAsia="en-CA"/>
        </w:rPr>
        <w:br/>
        <w:t>Rainy River Public Library</w:t>
      </w:r>
      <w:r w:rsidRPr="004E4F5F">
        <w:rPr>
          <w:rFonts w:ascii="Arial" w:hAnsi="Arial" w:cs="Arial"/>
          <w:sz w:val="24"/>
          <w:lang w:eastAsia="en-CA"/>
        </w:rPr>
        <w:br/>
        <w:t>Social Return on Investment </w:t>
      </w:r>
    </w:p>
    <w:p w:rsidR="004E4F5F" w:rsidRDefault="004E4F5F">
      <w:pPr>
        <w:rPr>
          <w:rFonts w:ascii="Arial" w:hAnsi="Arial" w:cs="Arial"/>
          <w:b/>
          <w:kern w:val="36"/>
          <w:sz w:val="24"/>
          <w:szCs w:val="24"/>
          <w:lang w:eastAsia="en-CA"/>
        </w:rPr>
      </w:pPr>
      <w:r>
        <w:rPr>
          <w:rFonts w:ascii="Arial" w:hAnsi="Arial" w:cs="Arial"/>
          <w:b/>
          <w:kern w:val="36"/>
          <w:sz w:val="24"/>
          <w:szCs w:val="24"/>
          <w:lang w:eastAsia="en-CA"/>
        </w:rPr>
        <w:br w:type="page"/>
      </w:r>
    </w:p>
    <w:p w:rsidR="00E64395" w:rsidRPr="00581ECE" w:rsidRDefault="00E64395" w:rsidP="00581ECE">
      <w:pPr>
        <w:rPr>
          <w:rFonts w:ascii="Arial" w:hAnsi="Arial" w:cs="Arial"/>
          <w:b/>
          <w:kern w:val="36"/>
          <w:sz w:val="24"/>
          <w:szCs w:val="24"/>
          <w:lang w:eastAsia="en-CA"/>
        </w:rPr>
      </w:pPr>
      <w:r w:rsidRPr="00581ECE">
        <w:rPr>
          <w:rFonts w:ascii="Arial" w:hAnsi="Arial" w:cs="Arial"/>
          <w:b/>
          <w:kern w:val="36"/>
          <w:sz w:val="24"/>
          <w:szCs w:val="24"/>
          <w:lang w:eastAsia="en-CA"/>
        </w:rPr>
        <w:lastRenderedPageBreak/>
        <w:t>Valuing Northern Libraries Toolkit</w:t>
      </w:r>
    </w:p>
    <w:p w:rsidR="00E64395" w:rsidRPr="00581ECE" w:rsidRDefault="00C17890" w:rsidP="00581ECE">
      <w:pPr>
        <w:rPr>
          <w:rFonts w:ascii="Arial" w:hAnsi="Arial" w:cs="Arial"/>
          <w:sz w:val="24"/>
          <w:szCs w:val="24"/>
          <w:lang w:eastAsia="en-CA"/>
        </w:rPr>
      </w:pPr>
      <w:hyperlink r:id="rId11" w:history="1">
        <w:r w:rsidR="00E64395" w:rsidRPr="00581ECE">
          <w:rPr>
            <w:rFonts w:ascii="Arial" w:hAnsi="Arial" w:cs="Arial"/>
            <w:sz w:val="24"/>
            <w:szCs w:val="24"/>
            <w:bdr w:val="none" w:sz="0" w:space="0" w:color="auto" w:frame="1"/>
            <w:lang w:eastAsia="en-CA"/>
          </w:rPr>
          <w:t>http://home.olsn.ca/resources/valuing-northern-libraries-toolkit</w:t>
        </w:r>
      </w:hyperlink>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Ontario Library Service – North (OLS – North) contracted NORDIK Institute to create a measurement tool to illustrate the value of libraries in rural, Northern, First Nation, and francophone communities. A steering committee consisting of the CEOs of the six pilot communities participated in identifying the measurement topics, the design and testing of the tool.</w:t>
      </w:r>
    </w:p>
    <w:p w:rsidR="00E64395" w:rsidRPr="00581ECE" w:rsidRDefault="00E64395" w:rsidP="00581ECE">
      <w:pPr>
        <w:rPr>
          <w:rFonts w:ascii="Arial" w:hAnsi="Arial" w:cs="Arial"/>
          <w:b/>
          <w:sz w:val="24"/>
          <w:szCs w:val="24"/>
          <w:lang w:eastAsia="en-CA"/>
        </w:rPr>
      </w:pPr>
      <w:r w:rsidRPr="00581ECE">
        <w:rPr>
          <w:rFonts w:ascii="Arial" w:hAnsi="Arial" w:cs="Arial"/>
          <w:b/>
          <w:sz w:val="24"/>
          <w:szCs w:val="24"/>
          <w:lang w:eastAsia="en-CA"/>
        </w:rPr>
        <w:t>The Toolkit and Resources</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This tool is designed to measure the value of public libraries and their role as community hubs, building capacity for healthy, resilient people and places, especially in rural, Northern, First Nation and francophone communities. The toolkit provides a step-by-step process to assess libraries’ social return on investment (SROI) within a holistic, cross-sectoral framework. The Social Return on Investment (SROI) is a term describing the social impact of a business or non-profit’s operations in dollar terms, relative to the investment required to create that impact and exclusive of its financial return to investors.</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Based on a review of relevant literature, focus groups, consultation with steering committee members and site visits, NORDIK designed a measurement toolkit to encompass the many diverse and unique roles that public libraries play in the North as community hubs.</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This framework identifies seven areas where libraries contribute to building individual, organizational, and community level capacity.</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Cultural Integrity &amp; Regional Identity</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Social Inclusion</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Cognitive &amp; Literacy Development</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Health &amp; Wellness</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Engaged Citizens &amp; Safer Communities</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Entertainment &amp; Enjoyment</w:t>
      </w:r>
    </w:p>
    <w:p w:rsidR="00E64395" w:rsidRPr="00581ECE" w:rsidRDefault="00E64395" w:rsidP="00581ECE">
      <w:pPr>
        <w:pStyle w:val="ListParagraph"/>
        <w:numPr>
          <w:ilvl w:val="0"/>
          <w:numId w:val="7"/>
        </w:numPr>
        <w:rPr>
          <w:rFonts w:ascii="Arial" w:hAnsi="Arial" w:cs="Arial"/>
          <w:sz w:val="24"/>
          <w:szCs w:val="24"/>
          <w:lang w:eastAsia="en-CA"/>
        </w:rPr>
      </w:pPr>
      <w:r w:rsidRPr="00581ECE">
        <w:rPr>
          <w:rFonts w:ascii="Arial" w:hAnsi="Arial" w:cs="Arial"/>
          <w:sz w:val="24"/>
          <w:szCs w:val="24"/>
          <w:lang w:eastAsia="en-CA"/>
        </w:rPr>
        <w:t>Economic Development</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 xml:space="preserve">An indicator is a quantifiable measure used to monitor progress or impact in a given area or sector. In collaboration with the pilot sites, three indicators were chosen that best reflect how libraries’ operations and expenditures contribute to each respective area. The same number of indicators is measured in each of the seven sectors for the purpose of </w:t>
      </w:r>
      <w:r w:rsidRPr="00581ECE">
        <w:rPr>
          <w:rFonts w:ascii="Arial" w:hAnsi="Arial" w:cs="Arial"/>
          <w:sz w:val="24"/>
          <w:szCs w:val="24"/>
          <w:lang w:eastAsia="en-CA"/>
        </w:rPr>
        <w:lastRenderedPageBreak/>
        <w:t>demonstrating the equivalent value of each sector in the overall economic benefit and calculation of its Social Return on Investment.</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While many of the services and activities of the libraries could arguably demonstrate benefits in multiple sectors assessed by the measurement tool, this study has relied on the preferences of the pilot sites to identify the placement of indicators most appropriate to each of the seven sectors. The indicators have been selected based on data that is collected by all libraries, or alternatively, can be easily collected during the ‘typical week’ usage survey.</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Each library builds a unique mix of resources—collections, programming, services, etc. in response to community needs, enabling diverse people to improve their quality of life and to participate in the life of the community in meaningful ways. In many instances, libraries demonstrate leadership by promoting services that are otherwise non-existent, under developed or under serviced. The library value toolkit can be used in all of Ontario’s small and rural communities to demonstrate how the library contributes to individual, organizational, and community capacity.</w:t>
      </w:r>
    </w:p>
    <w:p w:rsidR="00E64395" w:rsidRPr="00581ECE" w:rsidRDefault="00E64395" w:rsidP="00581ECE">
      <w:pPr>
        <w:rPr>
          <w:rFonts w:ascii="Arial" w:hAnsi="Arial" w:cs="Arial"/>
          <w:b/>
          <w:sz w:val="24"/>
          <w:szCs w:val="24"/>
          <w:lang w:eastAsia="en-CA"/>
        </w:rPr>
      </w:pPr>
      <w:r w:rsidRPr="00581ECE">
        <w:rPr>
          <w:rFonts w:ascii="Arial" w:hAnsi="Arial" w:cs="Arial"/>
          <w:b/>
          <w:sz w:val="24"/>
          <w:szCs w:val="24"/>
          <w:lang w:eastAsia="en-CA"/>
        </w:rPr>
        <w:t>SROI Indicator Template (the library value calculation spreadsheet)</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The SROI Indicator Template will require some of the data submitted for the 2017 Annual Survey of Public Libraries, the Typical Week Survey, plus other commonly collected information.</w:t>
      </w:r>
    </w:p>
    <w:p w:rsidR="00E64395" w:rsidRPr="00581ECE" w:rsidRDefault="00E64395" w:rsidP="00581ECE">
      <w:pPr>
        <w:rPr>
          <w:rFonts w:ascii="Arial" w:hAnsi="Arial" w:cs="Arial"/>
          <w:sz w:val="24"/>
          <w:szCs w:val="24"/>
          <w:lang w:eastAsia="en-CA"/>
        </w:rPr>
      </w:pPr>
      <w:r w:rsidRPr="00581ECE">
        <w:rPr>
          <w:rFonts w:ascii="Arial" w:hAnsi="Arial" w:cs="Arial"/>
          <w:sz w:val="24"/>
          <w:szCs w:val="24"/>
          <w:lang w:eastAsia="en-CA"/>
        </w:rPr>
        <w:t>Download the template and sample reports:</w:t>
      </w:r>
    </w:p>
    <w:p w:rsidR="00E64395" w:rsidRPr="00581ECE" w:rsidRDefault="00C17890" w:rsidP="00581ECE">
      <w:pPr>
        <w:pStyle w:val="ListParagraph"/>
        <w:numPr>
          <w:ilvl w:val="0"/>
          <w:numId w:val="6"/>
        </w:numPr>
        <w:rPr>
          <w:rFonts w:ascii="Arial" w:hAnsi="Arial" w:cs="Arial"/>
          <w:sz w:val="24"/>
          <w:szCs w:val="24"/>
          <w:lang w:eastAsia="en-CA"/>
        </w:rPr>
      </w:pPr>
      <w:hyperlink r:id="rId12" w:tgtFrame="_blank" w:history="1">
        <w:r w:rsidR="00E64395" w:rsidRPr="00581ECE">
          <w:rPr>
            <w:rFonts w:ascii="Arial" w:hAnsi="Arial" w:cs="Arial"/>
            <w:sz w:val="24"/>
            <w:szCs w:val="24"/>
            <w:bdr w:val="none" w:sz="0" w:space="0" w:color="auto" w:frame="1"/>
            <w:lang w:eastAsia="en-CA"/>
          </w:rPr>
          <w:t>The SROI Indicator Template</w:t>
        </w:r>
      </w:hyperlink>
    </w:p>
    <w:p w:rsidR="00E64395" w:rsidRPr="00581ECE" w:rsidRDefault="00C17890" w:rsidP="00581ECE">
      <w:pPr>
        <w:pStyle w:val="ListParagraph"/>
        <w:numPr>
          <w:ilvl w:val="0"/>
          <w:numId w:val="6"/>
        </w:numPr>
        <w:rPr>
          <w:rFonts w:ascii="Arial" w:hAnsi="Arial" w:cs="Arial"/>
          <w:sz w:val="24"/>
          <w:szCs w:val="24"/>
          <w:lang w:eastAsia="en-CA"/>
        </w:rPr>
      </w:pPr>
      <w:hyperlink r:id="rId13" w:tgtFrame="_blank" w:history="1">
        <w:r w:rsidR="00E64395" w:rsidRPr="00581ECE">
          <w:rPr>
            <w:rFonts w:ascii="Arial" w:hAnsi="Arial" w:cs="Arial"/>
            <w:sz w:val="24"/>
            <w:szCs w:val="24"/>
            <w:bdr w:val="none" w:sz="0" w:space="0" w:color="auto" w:frame="1"/>
            <w:lang w:eastAsia="en-CA"/>
          </w:rPr>
          <w:t>Community Report Template</w:t>
        </w:r>
      </w:hyperlink>
    </w:p>
    <w:p w:rsidR="00E64395" w:rsidRPr="00581ECE" w:rsidRDefault="00C17890" w:rsidP="00581ECE">
      <w:pPr>
        <w:pStyle w:val="ListParagraph"/>
        <w:numPr>
          <w:ilvl w:val="0"/>
          <w:numId w:val="6"/>
        </w:numPr>
        <w:rPr>
          <w:rFonts w:ascii="Arial" w:hAnsi="Arial" w:cs="Arial"/>
          <w:sz w:val="24"/>
          <w:szCs w:val="24"/>
          <w:lang w:eastAsia="en-CA"/>
        </w:rPr>
      </w:pPr>
      <w:hyperlink r:id="rId14" w:tgtFrame="_blank" w:history="1">
        <w:r w:rsidR="00E64395" w:rsidRPr="00581ECE">
          <w:rPr>
            <w:rFonts w:ascii="Arial" w:hAnsi="Arial" w:cs="Arial"/>
            <w:sz w:val="24"/>
            <w:szCs w:val="24"/>
            <w:bdr w:val="none" w:sz="0" w:space="0" w:color="auto" w:frame="1"/>
            <w:lang w:eastAsia="en-CA"/>
          </w:rPr>
          <w:t>Sample Community Report  </w:t>
        </w:r>
      </w:hyperlink>
    </w:p>
    <w:p w:rsidR="00E64395" w:rsidRPr="00581ECE" w:rsidRDefault="00C17890" w:rsidP="00581ECE">
      <w:pPr>
        <w:pStyle w:val="ListParagraph"/>
        <w:numPr>
          <w:ilvl w:val="0"/>
          <w:numId w:val="6"/>
        </w:numPr>
        <w:rPr>
          <w:rFonts w:ascii="Arial" w:hAnsi="Arial" w:cs="Arial"/>
          <w:sz w:val="24"/>
          <w:szCs w:val="24"/>
          <w:lang w:eastAsia="en-CA"/>
        </w:rPr>
      </w:pPr>
      <w:hyperlink r:id="rId15" w:tgtFrame="_blank" w:history="1">
        <w:r w:rsidR="00E64395" w:rsidRPr="00581ECE">
          <w:rPr>
            <w:rFonts w:ascii="Arial" w:hAnsi="Arial" w:cs="Arial"/>
            <w:sz w:val="24"/>
            <w:szCs w:val="24"/>
            <w:bdr w:val="none" w:sz="0" w:space="0" w:color="auto" w:frame="1"/>
            <w:lang w:eastAsia="en-CA"/>
          </w:rPr>
          <w:t>Sample Completed Indicator Template </w:t>
        </w:r>
      </w:hyperlink>
    </w:p>
    <w:p w:rsidR="00E64395" w:rsidRPr="00581ECE" w:rsidRDefault="00E64395" w:rsidP="00581ECE">
      <w:pPr>
        <w:rPr>
          <w:rFonts w:ascii="Arial" w:hAnsi="Arial" w:cs="Arial"/>
          <w:b/>
          <w:sz w:val="24"/>
          <w:szCs w:val="24"/>
          <w:lang w:eastAsia="en-CA"/>
        </w:rPr>
      </w:pPr>
      <w:r w:rsidRPr="00581ECE">
        <w:rPr>
          <w:rFonts w:ascii="Arial" w:hAnsi="Arial" w:cs="Arial"/>
          <w:b/>
          <w:sz w:val="24"/>
          <w:szCs w:val="24"/>
          <w:lang w:eastAsia="en-CA"/>
        </w:rPr>
        <w:t>Training Resources</w:t>
      </w:r>
    </w:p>
    <w:p w:rsidR="00E64395" w:rsidRPr="00581ECE" w:rsidRDefault="00E64395" w:rsidP="00581ECE">
      <w:pPr>
        <w:rPr>
          <w:rFonts w:ascii="Arial" w:hAnsi="Arial" w:cs="Arial"/>
          <w:sz w:val="24"/>
          <w:szCs w:val="24"/>
          <w:lang w:eastAsia="en-CA"/>
        </w:rPr>
      </w:pPr>
      <w:r w:rsidRPr="00581ECE">
        <w:rPr>
          <w:rFonts w:ascii="Arial" w:hAnsi="Arial" w:cs="Arial"/>
          <w:b/>
          <w:bCs/>
          <w:sz w:val="24"/>
          <w:szCs w:val="24"/>
          <w:bdr w:val="none" w:sz="0" w:space="0" w:color="auto" w:frame="1"/>
          <w:lang w:eastAsia="en-CA"/>
        </w:rPr>
        <w:t>COMING SOON</w:t>
      </w:r>
      <w:r w:rsidRPr="00581ECE">
        <w:rPr>
          <w:rFonts w:ascii="Arial" w:hAnsi="Arial" w:cs="Arial"/>
          <w:sz w:val="24"/>
          <w:szCs w:val="24"/>
          <w:lang w:eastAsia="en-CA"/>
        </w:rPr>
        <w:t> – The Valuing Northern Libraries Toolkit online course will be made available on LearnHQ for Ontario public libraries to access.</w:t>
      </w:r>
    </w:p>
    <w:p w:rsidR="006873C0" w:rsidRPr="007119B4" w:rsidRDefault="00E64395" w:rsidP="00581ECE">
      <w:pPr>
        <w:rPr>
          <w:b/>
          <w:sz w:val="21"/>
        </w:rPr>
      </w:pPr>
      <w:r w:rsidRPr="00581ECE">
        <w:rPr>
          <w:rFonts w:ascii="Arial" w:hAnsi="Arial" w:cs="Arial"/>
          <w:sz w:val="24"/>
          <w:szCs w:val="24"/>
        </w:rPr>
        <w:br w:type="page"/>
      </w:r>
      <w:r w:rsidR="006873C0" w:rsidRPr="007119B4">
        <w:rPr>
          <w:b/>
          <w:sz w:val="28"/>
        </w:rPr>
        <w:lastRenderedPageBreak/>
        <w:t>Valuing Northern Libraries Community Reports: Social Return on Investment</w:t>
      </w:r>
      <w:r w:rsidR="006873C0" w:rsidRPr="007119B4">
        <w:rPr>
          <w:b/>
          <w:sz w:val="28"/>
        </w:rPr>
        <w:br/>
      </w:r>
    </w:p>
    <w:p w:rsidR="007119B4" w:rsidRPr="00581ECE" w:rsidRDefault="007119B4" w:rsidP="007119B4">
      <w:pPr>
        <w:rPr>
          <w:rFonts w:ascii="Arial" w:hAnsi="Arial" w:cs="Arial"/>
          <w:sz w:val="24"/>
          <w:szCs w:val="24"/>
        </w:rPr>
      </w:pPr>
      <w:r w:rsidRPr="00581ECE">
        <w:rPr>
          <w:rFonts w:ascii="Arial" w:hAnsi="Arial" w:cs="Arial"/>
          <w:sz w:val="24"/>
          <w:szCs w:val="24"/>
        </w:rPr>
        <w:t>The Ontario Library Services - North contracted NORDIK Institute</w:t>
      </w:r>
      <w:r w:rsidR="00581ECE" w:rsidRPr="00581ECE">
        <w:rPr>
          <w:rFonts w:ascii="Arial" w:hAnsi="Arial" w:cs="Arial"/>
          <w:sz w:val="24"/>
          <w:szCs w:val="24"/>
        </w:rPr>
        <w:t>,</w:t>
      </w:r>
      <w:r w:rsidRPr="00581ECE">
        <w:rPr>
          <w:rFonts w:ascii="Arial" w:hAnsi="Arial" w:cs="Arial"/>
          <w:sz w:val="24"/>
          <w:szCs w:val="24"/>
        </w:rPr>
        <w:t xml:space="preserve"> </w:t>
      </w:r>
      <w:r w:rsidR="00581ECE" w:rsidRPr="00581ECE">
        <w:rPr>
          <w:rFonts w:ascii="Arial" w:hAnsi="Arial" w:cs="Arial"/>
          <w:sz w:val="24"/>
          <w:szCs w:val="24"/>
        </w:rPr>
        <w:t xml:space="preserve">at Algoma University, </w:t>
      </w:r>
      <w:r w:rsidRPr="00581ECE">
        <w:rPr>
          <w:rFonts w:ascii="Arial" w:hAnsi="Arial" w:cs="Arial"/>
          <w:sz w:val="24"/>
          <w:szCs w:val="24"/>
        </w:rPr>
        <w:t>to evaluate the impact that the 121 Libraries of Northern Ontario provide to their communities. Six diverse pilot sites volunteered to participate in the design and testing of a tool for measuring the Social Return on Investment (SROI), including Dryden, Rainy River, Kenora, Temiskaming Shores, Powassan and Wikwemikong Unceded Indian Reserve. These studies were accomplished under a grant from the Ministry of Tourism, Culture and Sport through the Ontario Library Capacity Fund.</w:t>
      </w:r>
      <w:r w:rsidR="00581ECE" w:rsidRPr="00581ECE">
        <w:rPr>
          <w:rFonts w:ascii="Arial" w:hAnsi="Arial" w:cs="Arial"/>
          <w:sz w:val="24"/>
          <w:szCs w:val="24"/>
        </w:rPr>
        <w:t xml:space="preserve">  We thank the Ministry for this funding.</w:t>
      </w:r>
    </w:p>
    <w:p w:rsidR="007119B4" w:rsidRPr="00581ECE" w:rsidRDefault="007119B4" w:rsidP="007119B4">
      <w:pPr>
        <w:rPr>
          <w:rFonts w:ascii="Arial" w:hAnsi="Arial" w:cs="Arial"/>
          <w:sz w:val="24"/>
          <w:szCs w:val="24"/>
        </w:rPr>
      </w:pPr>
      <w:r w:rsidRPr="00581ECE">
        <w:rPr>
          <w:rFonts w:ascii="Arial" w:hAnsi="Arial" w:cs="Arial"/>
          <w:sz w:val="24"/>
          <w:szCs w:val="24"/>
        </w:rPr>
        <w:t xml:space="preserve">Based on a review of relevant literature, focus groups, consultation with Steering Committee members and site visits, NORDIK designed a Measurement Toolkit to encompass the many diverse and unique roles that public libraries play in the North as Community Hubs. Seven key areas, or sectors, were identified as components of libraries’ benefit to their communities, namely: </w:t>
      </w:r>
      <w:r w:rsidRPr="00581ECE">
        <w:rPr>
          <w:rFonts w:ascii="Arial" w:hAnsi="Arial" w:cs="Arial"/>
          <w:bCs/>
          <w:sz w:val="24"/>
          <w:szCs w:val="24"/>
        </w:rPr>
        <w:t>Cultural Integrity and Regional Identity</w:t>
      </w:r>
      <w:r w:rsidRPr="00581ECE">
        <w:rPr>
          <w:rFonts w:ascii="Arial" w:hAnsi="Arial" w:cs="Arial"/>
          <w:sz w:val="24"/>
          <w:szCs w:val="24"/>
        </w:rPr>
        <w:t xml:space="preserve">; </w:t>
      </w:r>
      <w:r w:rsidRPr="00581ECE">
        <w:rPr>
          <w:rFonts w:ascii="Arial" w:hAnsi="Arial" w:cs="Arial"/>
          <w:bCs/>
          <w:sz w:val="24"/>
          <w:szCs w:val="24"/>
        </w:rPr>
        <w:t>Social Inclusion</w:t>
      </w:r>
      <w:r w:rsidRPr="00581ECE">
        <w:rPr>
          <w:rFonts w:ascii="Arial" w:hAnsi="Arial" w:cs="Arial"/>
          <w:sz w:val="24"/>
          <w:szCs w:val="24"/>
        </w:rPr>
        <w:t xml:space="preserve">; </w:t>
      </w:r>
      <w:r w:rsidRPr="00581ECE">
        <w:rPr>
          <w:rFonts w:ascii="Arial" w:hAnsi="Arial" w:cs="Arial"/>
          <w:bCs/>
          <w:sz w:val="24"/>
          <w:szCs w:val="24"/>
        </w:rPr>
        <w:t>Cognitive and Literacy</w:t>
      </w:r>
      <w:r w:rsidRPr="00581ECE">
        <w:rPr>
          <w:rFonts w:ascii="Arial" w:hAnsi="Arial" w:cs="Arial"/>
          <w:sz w:val="24"/>
          <w:szCs w:val="24"/>
        </w:rPr>
        <w:t xml:space="preserve">; </w:t>
      </w:r>
      <w:r w:rsidRPr="00581ECE">
        <w:rPr>
          <w:rFonts w:ascii="Arial" w:hAnsi="Arial" w:cs="Arial"/>
          <w:bCs/>
          <w:sz w:val="24"/>
          <w:szCs w:val="24"/>
        </w:rPr>
        <w:t>Health and Wellness</w:t>
      </w:r>
      <w:r w:rsidRPr="00581ECE">
        <w:rPr>
          <w:rFonts w:ascii="Arial" w:hAnsi="Arial" w:cs="Arial"/>
          <w:sz w:val="24"/>
          <w:szCs w:val="24"/>
        </w:rPr>
        <w:t xml:space="preserve">; </w:t>
      </w:r>
      <w:r w:rsidRPr="00581ECE">
        <w:rPr>
          <w:rFonts w:ascii="Arial" w:hAnsi="Arial" w:cs="Arial"/>
          <w:bCs/>
          <w:sz w:val="24"/>
          <w:szCs w:val="24"/>
        </w:rPr>
        <w:t>Engaged Citizens and Safer Communities</w:t>
      </w:r>
      <w:r w:rsidRPr="00581ECE">
        <w:rPr>
          <w:rFonts w:ascii="Arial" w:hAnsi="Arial" w:cs="Arial"/>
          <w:sz w:val="24"/>
          <w:szCs w:val="24"/>
        </w:rPr>
        <w:t xml:space="preserve">; </w:t>
      </w:r>
      <w:r w:rsidRPr="00581ECE">
        <w:rPr>
          <w:rFonts w:ascii="Arial" w:hAnsi="Arial" w:cs="Arial"/>
          <w:bCs/>
          <w:sz w:val="24"/>
          <w:szCs w:val="24"/>
        </w:rPr>
        <w:t>Entertainment and Enjoyment</w:t>
      </w:r>
      <w:r w:rsidRPr="00581ECE">
        <w:rPr>
          <w:rFonts w:ascii="Arial" w:hAnsi="Arial" w:cs="Arial"/>
          <w:sz w:val="24"/>
          <w:szCs w:val="24"/>
        </w:rPr>
        <w:t xml:space="preserve">; and </w:t>
      </w:r>
      <w:r w:rsidRPr="00581ECE">
        <w:rPr>
          <w:rFonts w:ascii="Arial" w:hAnsi="Arial" w:cs="Arial"/>
          <w:bCs/>
          <w:sz w:val="24"/>
          <w:szCs w:val="24"/>
        </w:rPr>
        <w:t>Economic Development</w:t>
      </w:r>
      <w:r w:rsidRPr="00581ECE">
        <w:rPr>
          <w:rFonts w:ascii="Arial" w:hAnsi="Arial" w:cs="Arial"/>
          <w:sz w:val="24"/>
          <w:szCs w:val="24"/>
        </w:rPr>
        <w:t>. In collaboration with the pilot sites, three indicators were chosen within each sector that best reflect how libraries’ operations and expenditures contribute to each respective area. The data for each is typically already collected by most libraries or is otherwise easily accessible.</w:t>
      </w:r>
    </w:p>
    <w:p w:rsidR="00E64395" w:rsidRPr="00581ECE" w:rsidRDefault="00E64395" w:rsidP="007119B4">
      <w:pPr>
        <w:rPr>
          <w:rFonts w:ascii="Arial" w:hAnsi="Arial" w:cs="Arial"/>
          <w:sz w:val="24"/>
          <w:szCs w:val="24"/>
        </w:rPr>
      </w:pPr>
      <w:r w:rsidRPr="00581ECE">
        <w:rPr>
          <w:rFonts w:ascii="Arial" w:hAnsi="Arial" w:cs="Arial"/>
          <w:sz w:val="24"/>
          <w:szCs w:val="24"/>
        </w:rPr>
        <w:t>Kudos to Rainy River Public Library for the fine entry below.   Libraries that are measuring their results, impact, economic impact, outcomes etc. report on using PLA’s Project Outcomes, OLS-North’s Valuing Northern Libraries Toolkit, and other library values and economic impact models.  Others report they prefer data and written accolades attesting to their service impact, or that they plan to measure outcomes soon.   This report is posted on the FOPL website </w:t>
      </w:r>
      <w:hyperlink r:id="rId16" w:history="1">
        <w:r w:rsidRPr="00581ECE">
          <w:rPr>
            <w:rFonts w:ascii="Arial" w:hAnsi="Arial" w:cs="Arial"/>
            <w:color w:val="2EA3F2"/>
            <w:sz w:val="24"/>
            <w:szCs w:val="24"/>
            <w:u w:val="single"/>
            <w:bdr w:val="none" w:sz="0" w:space="0" w:color="auto" w:frame="1"/>
          </w:rPr>
          <w:t>http://fopl.ca/news/special-reports-from-the-2017-ontario-public-library-operating-data/</w:t>
        </w:r>
      </w:hyperlink>
      <w:r w:rsidRPr="00581ECE">
        <w:rPr>
          <w:rFonts w:ascii="Arial" w:hAnsi="Arial" w:cs="Arial"/>
          <w:sz w:val="24"/>
          <w:szCs w:val="24"/>
        </w:rPr>
        <w:t> and  </w:t>
      </w:r>
      <w:hyperlink r:id="rId17" w:history="1">
        <w:r w:rsidRPr="00581ECE">
          <w:rPr>
            <w:rFonts w:ascii="Arial" w:hAnsi="Arial" w:cs="Arial"/>
            <w:color w:val="2EA3F2"/>
            <w:sz w:val="24"/>
            <w:szCs w:val="24"/>
            <w:u w:val="single"/>
            <w:bdr w:val="none" w:sz="0" w:space="0" w:color="auto" w:frame="1"/>
          </w:rPr>
          <w:t>http://fopl.ca/news/2017-ontario-public-library-statistics/</w:t>
        </w:r>
      </w:hyperlink>
      <w:r w:rsidRPr="00581ECE">
        <w:rPr>
          <w:rFonts w:ascii="Arial" w:hAnsi="Arial" w:cs="Arial"/>
          <w:sz w:val="24"/>
          <w:szCs w:val="24"/>
        </w:rPr>
        <w:t>.</w:t>
      </w:r>
    </w:p>
    <w:p w:rsidR="00E64395" w:rsidRPr="00581ECE" w:rsidRDefault="00E64395" w:rsidP="007119B4">
      <w:pPr>
        <w:rPr>
          <w:rFonts w:ascii="Arial" w:hAnsi="Arial" w:cs="Arial"/>
          <w:b/>
          <w:sz w:val="24"/>
          <w:szCs w:val="24"/>
        </w:rPr>
      </w:pPr>
      <w:r w:rsidRPr="00581ECE">
        <w:rPr>
          <w:rFonts w:ascii="Arial" w:hAnsi="Arial" w:cs="Arial"/>
          <w:b/>
          <w:bCs/>
          <w:sz w:val="24"/>
          <w:szCs w:val="24"/>
          <w:bdr w:val="none" w:sz="0" w:space="0" w:color="auto" w:frame="1"/>
        </w:rPr>
        <w:t>Rainy River Public Library</w:t>
      </w:r>
      <w:r w:rsidRPr="00581ECE">
        <w:rPr>
          <w:rFonts w:ascii="Arial" w:hAnsi="Arial" w:cs="Arial"/>
          <w:b/>
          <w:sz w:val="24"/>
          <w:szCs w:val="24"/>
        </w:rPr>
        <w:t xml:space="preserve"> </w:t>
      </w:r>
    </w:p>
    <w:p w:rsidR="00E64395" w:rsidRPr="00581ECE" w:rsidRDefault="00E64395" w:rsidP="007119B4">
      <w:pPr>
        <w:rPr>
          <w:rFonts w:ascii="Arial" w:hAnsi="Arial" w:cs="Arial"/>
          <w:sz w:val="24"/>
          <w:szCs w:val="24"/>
        </w:rPr>
      </w:pPr>
      <w:r w:rsidRPr="00581ECE">
        <w:rPr>
          <w:rFonts w:ascii="Arial" w:hAnsi="Arial" w:cs="Arial"/>
          <w:sz w:val="24"/>
          <w:szCs w:val="24"/>
        </w:rPr>
        <w:t>Rainy River Public Library was one of six pilot sites for the Valuing Northern Libraries Toolkit project of OLS-North: </w:t>
      </w:r>
      <w:hyperlink r:id="rId18" w:history="1">
        <w:r w:rsidRPr="00581ECE">
          <w:rPr>
            <w:rFonts w:ascii="Arial" w:hAnsi="Arial" w:cs="Arial"/>
            <w:color w:val="2EA3F2"/>
            <w:sz w:val="24"/>
            <w:szCs w:val="24"/>
            <w:u w:val="single"/>
            <w:bdr w:val="none" w:sz="0" w:space="0" w:color="auto" w:frame="1"/>
          </w:rPr>
          <w:t>http://home.olsn.ca/resources/valuing-northern-libraries-toolkit</w:t>
        </w:r>
      </w:hyperlink>
      <w:r w:rsidRPr="00581ECE">
        <w:rPr>
          <w:rFonts w:ascii="Arial" w:hAnsi="Arial" w:cs="Arial"/>
          <w:sz w:val="24"/>
          <w:szCs w:val="24"/>
        </w:rPr>
        <w:t xml:space="preserve">. </w:t>
      </w:r>
    </w:p>
    <w:p w:rsidR="00E64395" w:rsidRPr="00581ECE" w:rsidRDefault="00E64395" w:rsidP="007119B4">
      <w:pPr>
        <w:rPr>
          <w:rFonts w:ascii="Arial" w:hAnsi="Arial" w:cs="Arial"/>
          <w:sz w:val="24"/>
          <w:szCs w:val="24"/>
        </w:rPr>
      </w:pPr>
      <w:r w:rsidRPr="00581ECE">
        <w:rPr>
          <w:rFonts w:ascii="Arial" w:hAnsi="Arial" w:cs="Arial"/>
          <w:sz w:val="24"/>
          <w:szCs w:val="24"/>
        </w:rPr>
        <w:t xml:space="preserve">Based on the Toolkit indicators, and using our 2017 data, preliminary results for the Social Return on Investment for all programs and services delivered by our library is as follows: </w:t>
      </w:r>
    </w:p>
    <w:p w:rsidR="00E64395" w:rsidRPr="00581ECE" w:rsidRDefault="00E64395" w:rsidP="007119B4">
      <w:pPr>
        <w:rPr>
          <w:rFonts w:ascii="Arial" w:hAnsi="Arial" w:cs="Arial"/>
          <w:sz w:val="24"/>
          <w:szCs w:val="24"/>
        </w:rPr>
      </w:pPr>
      <w:r w:rsidRPr="00581ECE">
        <w:rPr>
          <w:rFonts w:ascii="Arial" w:hAnsi="Arial" w:cs="Arial"/>
          <w:sz w:val="24"/>
          <w:szCs w:val="24"/>
        </w:rPr>
        <w:lastRenderedPageBreak/>
        <w:t xml:space="preserve">1. Raw Economic Benefit, $882,913.02. </w:t>
      </w:r>
    </w:p>
    <w:p w:rsidR="00E64395" w:rsidRPr="00581ECE" w:rsidRDefault="00E64395" w:rsidP="007119B4">
      <w:pPr>
        <w:rPr>
          <w:rFonts w:ascii="Arial" w:hAnsi="Arial" w:cs="Arial"/>
          <w:sz w:val="24"/>
          <w:szCs w:val="24"/>
        </w:rPr>
      </w:pPr>
      <w:r w:rsidRPr="00581ECE">
        <w:rPr>
          <w:rFonts w:ascii="Arial" w:hAnsi="Arial" w:cs="Arial"/>
          <w:sz w:val="24"/>
          <w:szCs w:val="24"/>
        </w:rPr>
        <w:t xml:space="preserve">2. Total Economic Benefit, adjusted by the cost differential between Toronto and our region (as calculated by the annual Nutritious Food Basket report of Ontario Public Health Units): $1,196,434.01. </w:t>
      </w:r>
    </w:p>
    <w:p w:rsidR="00E64395" w:rsidRPr="00581ECE" w:rsidRDefault="00E64395" w:rsidP="007119B4">
      <w:pPr>
        <w:rPr>
          <w:rFonts w:ascii="Arial" w:hAnsi="Arial" w:cs="Arial"/>
          <w:sz w:val="24"/>
          <w:szCs w:val="24"/>
        </w:rPr>
      </w:pPr>
      <w:r w:rsidRPr="00581ECE">
        <w:rPr>
          <w:rFonts w:ascii="Arial" w:hAnsi="Arial" w:cs="Arial"/>
          <w:sz w:val="24"/>
          <w:szCs w:val="24"/>
        </w:rPr>
        <w:t xml:space="preserve">3. Benefit per Resident of our catchment area, $602.43. </w:t>
      </w:r>
    </w:p>
    <w:p w:rsidR="00E64395" w:rsidRPr="00581ECE" w:rsidRDefault="00E64395" w:rsidP="007119B4">
      <w:pPr>
        <w:rPr>
          <w:rFonts w:ascii="Arial" w:hAnsi="Arial" w:cs="Arial"/>
          <w:sz w:val="24"/>
          <w:szCs w:val="24"/>
        </w:rPr>
      </w:pPr>
      <w:r w:rsidRPr="00581ECE">
        <w:rPr>
          <w:rFonts w:ascii="Arial" w:hAnsi="Arial" w:cs="Arial"/>
          <w:sz w:val="24"/>
          <w:szCs w:val="24"/>
        </w:rPr>
        <w:t xml:space="preserve">4. Benefit per Household in our catchment area, $808.95. </w:t>
      </w:r>
    </w:p>
    <w:p w:rsidR="00E64395" w:rsidRPr="00581ECE" w:rsidRDefault="00E64395" w:rsidP="007119B4">
      <w:pPr>
        <w:rPr>
          <w:rFonts w:ascii="Arial" w:hAnsi="Arial" w:cs="Arial"/>
          <w:sz w:val="24"/>
          <w:szCs w:val="24"/>
        </w:rPr>
      </w:pPr>
      <w:r w:rsidRPr="00581ECE">
        <w:rPr>
          <w:rFonts w:ascii="Arial" w:hAnsi="Arial" w:cs="Arial"/>
          <w:sz w:val="24"/>
          <w:szCs w:val="24"/>
        </w:rPr>
        <w:t xml:space="preserve">5. Economic Impact of one Library Public Service Hour, $251.59. </w:t>
      </w:r>
    </w:p>
    <w:p w:rsidR="006873C0" w:rsidRPr="00581ECE" w:rsidRDefault="00E64395" w:rsidP="007119B4">
      <w:pPr>
        <w:rPr>
          <w:rFonts w:ascii="Arial" w:hAnsi="Arial" w:cs="Arial"/>
          <w:sz w:val="24"/>
          <w:szCs w:val="24"/>
        </w:rPr>
      </w:pPr>
      <w:r w:rsidRPr="00581ECE">
        <w:rPr>
          <w:rFonts w:ascii="Arial" w:hAnsi="Arial" w:cs="Arial"/>
          <w:sz w:val="24"/>
          <w:szCs w:val="24"/>
        </w:rPr>
        <w:t>6. Total Social Return in Investment, based on local operating funding from our appointing council: 3,474%. We would be glad to share full results.</w:t>
      </w:r>
    </w:p>
    <w:p w:rsidR="006873C0" w:rsidRPr="00581ECE" w:rsidRDefault="006873C0" w:rsidP="007119B4">
      <w:pPr>
        <w:rPr>
          <w:rFonts w:ascii="Arial" w:hAnsi="Arial" w:cs="Arial"/>
          <w:sz w:val="24"/>
          <w:szCs w:val="24"/>
        </w:rPr>
      </w:pPr>
      <w:r w:rsidRPr="00581ECE">
        <w:rPr>
          <w:rFonts w:ascii="Arial" w:hAnsi="Arial" w:cs="Arial"/>
          <w:b/>
          <w:sz w:val="24"/>
          <w:szCs w:val="24"/>
        </w:rPr>
        <w:t>Wikwemikong First Nation Public Library</w:t>
      </w:r>
      <w:r w:rsidRPr="00581ECE">
        <w:rPr>
          <w:rFonts w:ascii="Arial" w:hAnsi="Arial" w:cs="Arial"/>
          <w:b/>
          <w:sz w:val="24"/>
          <w:szCs w:val="24"/>
        </w:rPr>
        <w:br/>
      </w:r>
      <w:r w:rsidR="007119B4" w:rsidRPr="00581ECE">
        <w:rPr>
          <w:rFonts w:ascii="Arial" w:hAnsi="Arial" w:cs="Arial"/>
          <w:sz w:val="24"/>
          <w:szCs w:val="24"/>
        </w:rPr>
        <w:t>In 2015, Wikwemikong’s contribution to the library was $15,000. Application of the SROI Measurement Tool to 2015 data demonstrated this investment resulted in $259.45 of economic benefit per resident, and $714.08 per household. The library is open 1,569 hours per year for the year evaluated, yielding a minimum impact of $80.05 for each open hour in 2015. Through the application of these calculations it is apparent that the Wikwemikong First Nation Public Library yields at minimum $844,753.70 in total economic benefit and a $56.32 social return on investment for each dollar of its base band funding. Expressed as a percentage, this amounts to 5,632%. These calculations demonstrate the monetary value of the library’s cultural, social, cognitive, health, and economic applications as well as its contributions to community cohesion and an improved overall quality of life.</w:t>
      </w:r>
    </w:p>
    <w:p w:rsidR="006873C0" w:rsidRPr="00581ECE" w:rsidRDefault="006873C0" w:rsidP="007119B4">
      <w:pPr>
        <w:rPr>
          <w:rFonts w:ascii="Arial" w:hAnsi="Arial" w:cs="Arial"/>
          <w:sz w:val="24"/>
          <w:szCs w:val="24"/>
        </w:rPr>
      </w:pPr>
      <w:r w:rsidRPr="00581ECE">
        <w:rPr>
          <w:rFonts w:ascii="Arial" w:hAnsi="Arial" w:cs="Arial"/>
          <w:b/>
          <w:sz w:val="24"/>
          <w:szCs w:val="24"/>
        </w:rPr>
        <w:t>Kenora Public Library</w:t>
      </w:r>
      <w:r w:rsidRPr="00581ECE">
        <w:rPr>
          <w:rFonts w:ascii="Arial" w:hAnsi="Arial" w:cs="Arial"/>
          <w:b/>
          <w:sz w:val="24"/>
          <w:szCs w:val="24"/>
        </w:rPr>
        <w:br/>
      </w:r>
      <w:r w:rsidR="007119B4" w:rsidRPr="00581ECE">
        <w:rPr>
          <w:rFonts w:ascii="Arial" w:hAnsi="Arial" w:cs="Arial"/>
          <w:sz w:val="24"/>
          <w:szCs w:val="24"/>
        </w:rPr>
        <w:t>In 2015, Kenora’s municipal contribution to the library was $614,634. Application of the SROI Measurement Tool to 2015 data demonstrated this investment resulted in $972 of economic benefit per resident, and $1,988 per household. The library was open 3,700 hours per year for the year evaluated, yielding a minimum impact of $2,331 for each open hour in 2015. Through the application of these calculations it is apparent that the Kenora Public Library yields at minimum $14,665,861 in total economic benefit and a $23.86 return for each dollar of its base municipal funding. Expressed as a percentage, this amounts to 2,386%. These calculations demonstrate the monetary value of the library’s cultural, social, cognitive, health, and economic applications as well as its contributions to community cohesion and an improved overall quality of life.</w:t>
      </w:r>
    </w:p>
    <w:p w:rsidR="00D51516" w:rsidRDefault="00D51516">
      <w:pPr>
        <w:rPr>
          <w:rFonts w:ascii="Arial" w:hAnsi="Arial" w:cs="Arial"/>
          <w:b/>
          <w:sz w:val="24"/>
          <w:szCs w:val="24"/>
        </w:rPr>
      </w:pPr>
      <w:r>
        <w:rPr>
          <w:rFonts w:ascii="Arial" w:hAnsi="Arial" w:cs="Arial"/>
          <w:b/>
          <w:sz w:val="24"/>
          <w:szCs w:val="24"/>
        </w:rPr>
        <w:br w:type="page"/>
      </w:r>
    </w:p>
    <w:p w:rsidR="006873C0" w:rsidRPr="00581ECE" w:rsidRDefault="006873C0" w:rsidP="007119B4">
      <w:pPr>
        <w:rPr>
          <w:rFonts w:ascii="Arial" w:hAnsi="Arial" w:cs="Arial"/>
          <w:b/>
          <w:sz w:val="24"/>
          <w:szCs w:val="24"/>
        </w:rPr>
      </w:pPr>
      <w:r w:rsidRPr="00581ECE">
        <w:rPr>
          <w:rFonts w:ascii="Arial" w:hAnsi="Arial" w:cs="Arial"/>
          <w:b/>
          <w:sz w:val="24"/>
          <w:szCs w:val="24"/>
        </w:rPr>
        <w:lastRenderedPageBreak/>
        <w:t>Dryden Public Library</w:t>
      </w:r>
    </w:p>
    <w:p w:rsidR="007119B4" w:rsidRPr="00581ECE" w:rsidRDefault="007119B4" w:rsidP="007119B4">
      <w:pPr>
        <w:rPr>
          <w:rFonts w:ascii="Arial" w:hAnsi="Arial" w:cs="Arial"/>
          <w:sz w:val="24"/>
          <w:szCs w:val="24"/>
        </w:rPr>
      </w:pPr>
      <w:r w:rsidRPr="00581ECE">
        <w:rPr>
          <w:rFonts w:ascii="Arial" w:hAnsi="Arial" w:cs="Arial"/>
          <w:sz w:val="24"/>
          <w:szCs w:val="24"/>
        </w:rPr>
        <w:t xml:space="preserve">In 2016, The City of Dryden’s municipal contribution to the library was $301,347. Application of the SROI Measurement Tool to 2016 data demonstrated this investment resulted in a $726.78 of impact per resident, and $1590 per household. The Library is open 2,700 hours per year yielding a minimum impact of $931.80 for each open hour. Through the application of these calculations it is apparent that the Dryden Public Library yields at minimum $5,631,828.80 in total economic impact and a $18.68 return on its base municipal funding. Expressed as a percentage, this amounts to is 1868%. These calculations demonstrate the monetary value of the library’s cultural, social, cognitive, health and economic applications, as well as its contributions to fostering community cohesion and an improved overall quality of life. </w:t>
      </w:r>
    </w:p>
    <w:p w:rsidR="006873C0" w:rsidRPr="00581ECE" w:rsidRDefault="006873C0" w:rsidP="007119B4">
      <w:pPr>
        <w:rPr>
          <w:rFonts w:ascii="Arial" w:hAnsi="Arial" w:cs="Arial"/>
          <w:sz w:val="24"/>
          <w:szCs w:val="24"/>
        </w:rPr>
      </w:pPr>
      <w:r w:rsidRPr="00581ECE">
        <w:rPr>
          <w:rFonts w:ascii="Arial" w:hAnsi="Arial" w:cs="Arial"/>
          <w:b/>
          <w:sz w:val="24"/>
          <w:szCs w:val="24"/>
        </w:rPr>
        <w:t>Powassan and District Union Public Library</w:t>
      </w:r>
      <w:r w:rsidRPr="00581ECE">
        <w:rPr>
          <w:rFonts w:ascii="Arial" w:hAnsi="Arial" w:cs="Arial"/>
          <w:b/>
          <w:sz w:val="24"/>
          <w:szCs w:val="24"/>
        </w:rPr>
        <w:br/>
      </w:r>
      <w:r w:rsidR="007119B4" w:rsidRPr="00581ECE">
        <w:rPr>
          <w:rFonts w:ascii="Arial" w:hAnsi="Arial" w:cs="Arial"/>
          <w:sz w:val="24"/>
          <w:szCs w:val="24"/>
        </w:rPr>
        <w:t>In 2016, Powassan’s municipal contribution to the library was $151,930. Application of the SROI Measurement Tool to 2016 data demonstrated this investment resulted in $361.09 of economic benefit per resident, and $694.05 per household. The library is open 3,594 hours per year for the year evaluated, yielding a minimum impact of $344.45 for each open hour in 2016. Through the application of these calculations it is apparent that the Powassan &amp; District Union Public Library yields at minimum $2,494,398.75 in total economic benefit and a $16.42 return for each dollar of its base municipal funding. Expressed as a percentage, this amounts to 1,642%. These calculations demonstrate the monetary value of the library’s cultural, social, cognitive, health, and economic applications as well as its contributions to community cohesion and an improved overall quality of life.</w:t>
      </w:r>
    </w:p>
    <w:p w:rsidR="006873C0" w:rsidRPr="00581ECE" w:rsidRDefault="006873C0" w:rsidP="007119B4">
      <w:pPr>
        <w:rPr>
          <w:rFonts w:ascii="Arial" w:hAnsi="Arial" w:cs="Arial"/>
          <w:sz w:val="24"/>
          <w:szCs w:val="24"/>
        </w:rPr>
      </w:pPr>
      <w:r w:rsidRPr="00581ECE">
        <w:rPr>
          <w:rFonts w:ascii="Arial" w:hAnsi="Arial" w:cs="Arial"/>
          <w:b/>
          <w:sz w:val="24"/>
          <w:szCs w:val="24"/>
        </w:rPr>
        <w:t>Temiskaming Shores Public Library</w:t>
      </w:r>
      <w:r w:rsidRPr="00581ECE">
        <w:rPr>
          <w:rFonts w:ascii="Arial" w:hAnsi="Arial" w:cs="Arial"/>
          <w:b/>
          <w:sz w:val="24"/>
          <w:szCs w:val="24"/>
        </w:rPr>
        <w:br/>
      </w:r>
      <w:r w:rsidR="007119B4" w:rsidRPr="00581ECE">
        <w:rPr>
          <w:rFonts w:ascii="Arial" w:hAnsi="Arial" w:cs="Arial"/>
          <w:sz w:val="24"/>
          <w:szCs w:val="24"/>
        </w:rPr>
        <w:t>In 2016, Temiskaming Shores’ municipal contribution to the library was $392,262. Application of the Social Return on Investment (SROI) measurement tool to 2016 data demonstrated this investment resulted in $400 of economic benefit per resident and $858 per household. Collectively the branches are open 4,200 hours per year. Based on the library’s programs and services for the year evaluated, these yielded a minimum benefit of $436 for each open hour in 2016. Through the application of these calculations, it is apparent that the Temiskaming Shores Public Library yields a minimum $4,680.190 in total economic benefit and an $11.93 return for each dollar of its base municipal funding. Expressed as a percentage, this amounts to is 1193%. These calculations demonstrate the monetary value of the library’s cultural, social, cognitive, health, and economic applications as well as its contributions to community cohesion and an improved overall quality of life.</w:t>
      </w:r>
    </w:p>
    <w:p w:rsidR="00F637E6" w:rsidRDefault="00F637E6">
      <w:pPr>
        <w:rPr>
          <w:rFonts w:ascii="Arial" w:eastAsia="Times New Roman" w:hAnsi="Arial" w:cs="Arial"/>
          <w:color w:val="666666"/>
          <w:sz w:val="24"/>
          <w:szCs w:val="24"/>
          <w:lang w:eastAsia="en-CA"/>
        </w:rPr>
      </w:pPr>
      <w:r>
        <w:rPr>
          <w:rFonts w:ascii="Arial" w:eastAsia="Times New Roman" w:hAnsi="Arial" w:cs="Arial"/>
          <w:color w:val="666666"/>
          <w:sz w:val="24"/>
          <w:szCs w:val="24"/>
          <w:lang w:eastAsia="en-CA"/>
        </w:rPr>
        <w:br w:type="page"/>
      </w:r>
    </w:p>
    <w:p w:rsidR="00E64395" w:rsidRDefault="00F637E6">
      <w:pPr>
        <w:rPr>
          <w:rFonts w:ascii="Arial" w:hAnsi="Arial" w:cs="Arial"/>
          <w:b/>
          <w:sz w:val="24"/>
          <w:szCs w:val="24"/>
        </w:rPr>
      </w:pPr>
      <w:r w:rsidRPr="00F637E6">
        <w:rPr>
          <w:rFonts w:ascii="Arial" w:hAnsi="Arial" w:cs="Arial"/>
          <w:b/>
          <w:sz w:val="24"/>
          <w:szCs w:val="24"/>
        </w:rPr>
        <w:lastRenderedPageBreak/>
        <w:t>Summary Table</w:t>
      </w:r>
    </w:p>
    <w:p w:rsidR="004930BE" w:rsidRPr="004930BE" w:rsidRDefault="004930BE">
      <w:pPr>
        <w:rPr>
          <w:rFonts w:ascii="Arial" w:hAnsi="Arial" w:cs="Arial"/>
          <w:i/>
          <w:sz w:val="24"/>
          <w:szCs w:val="24"/>
        </w:rPr>
      </w:pPr>
      <w:r w:rsidRPr="004930BE">
        <w:rPr>
          <w:rFonts w:ascii="Arial" w:hAnsi="Arial" w:cs="Arial"/>
          <w:i/>
          <w:sz w:val="24"/>
          <w:szCs w:val="24"/>
        </w:rPr>
        <w:t>(Detailed statistics are available in the published community reports)</w:t>
      </w:r>
    </w:p>
    <w:tbl>
      <w:tblPr>
        <w:tblStyle w:val="TableGrid"/>
        <w:tblW w:w="13168" w:type="dxa"/>
        <w:tblLook w:val="04A0" w:firstRow="1" w:lastRow="0" w:firstColumn="1" w:lastColumn="0" w:noHBand="0" w:noVBand="1"/>
      </w:tblPr>
      <w:tblGrid>
        <w:gridCol w:w="2193"/>
        <w:gridCol w:w="1509"/>
        <w:gridCol w:w="1511"/>
        <w:gridCol w:w="1848"/>
        <w:gridCol w:w="1511"/>
        <w:gridCol w:w="1574"/>
        <w:gridCol w:w="1511"/>
        <w:gridCol w:w="1511"/>
      </w:tblGrid>
      <w:tr w:rsidR="00596D51" w:rsidRPr="00F637E6" w:rsidTr="00596D51">
        <w:trPr>
          <w:trHeight w:val="1521"/>
        </w:trPr>
        <w:tc>
          <w:tcPr>
            <w:tcW w:w="2193" w:type="dxa"/>
          </w:tcPr>
          <w:p w:rsidR="00F637E6" w:rsidRPr="00F637E6" w:rsidRDefault="00F637E6">
            <w:pPr>
              <w:rPr>
                <w:rFonts w:ascii="Arial" w:hAnsi="Arial" w:cs="Arial"/>
                <w:b/>
                <w:sz w:val="24"/>
                <w:szCs w:val="24"/>
              </w:rPr>
            </w:pPr>
            <w:r>
              <w:rPr>
                <w:rFonts w:ascii="Arial" w:hAnsi="Arial" w:cs="Arial"/>
                <w:b/>
                <w:sz w:val="24"/>
                <w:szCs w:val="24"/>
              </w:rPr>
              <w:t>Library</w:t>
            </w:r>
          </w:p>
        </w:tc>
        <w:tc>
          <w:tcPr>
            <w:tcW w:w="1509" w:type="dxa"/>
          </w:tcPr>
          <w:p w:rsidR="00F637E6" w:rsidRPr="00F637E6" w:rsidRDefault="007B2F9A">
            <w:pPr>
              <w:rPr>
                <w:rFonts w:ascii="Arial" w:hAnsi="Arial" w:cs="Arial"/>
                <w:b/>
                <w:sz w:val="24"/>
                <w:szCs w:val="24"/>
              </w:rPr>
            </w:pPr>
            <w:r>
              <w:rPr>
                <w:rFonts w:ascii="Arial" w:hAnsi="Arial" w:cs="Arial"/>
                <w:b/>
                <w:sz w:val="24"/>
                <w:szCs w:val="24"/>
              </w:rPr>
              <w:t>Funding</w:t>
            </w:r>
          </w:p>
        </w:tc>
        <w:tc>
          <w:tcPr>
            <w:tcW w:w="1511" w:type="dxa"/>
          </w:tcPr>
          <w:p w:rsidR="00F637E6" w:rsidRPr="00F637E6" w:rsidRDefault="007B2F9A" w:rsidP="00596D51">
            <w:pPr>
              <w:rPr>
                <w:rFonts w:ascii="Arial" w:hAnsi="Arial" w:cs="Arial"/>
                <w:b/>
                <w:sz w:val="24"/>
                <w:szCs w:val="24"/>
              </w:rPr>
            </w:pPr>
            <w:r>
              <w:rPr>
                <w:rFonts w:ascii="Arial" w:hAnsi="Arial" w:cs="Arial"/>
                <w:b/>
                <w:sz w:val="24"/>
                <w:szCs w:val="24"/>
              </w:rPr>
              <w:t xml:space="preserve">Per-resident </w:t>
            </w:r>
            <w:r w:rsidR="00596D51">
              <w:rPr>
                <w:rFonts w:ascii="Arial" w:hAnsi="Arial" w:cs="Arial"/>
                <w:b/>
                <w:sz w:val="24"/>
                <w:szCs w:val="24"/>
              </w:rPr>
              <w:t xml:space="preserve">economic </w:t>
            </w:r>
            <w:r>
              <w:rPr>
                <w:rFonts w:ascii="Arial" w:hAnsi="Arial" w:cs="Arial"/>
                <w:b/>
                <w:sz w:val="24"/>
                <w:szCs w:val="24"/>
              </w:rPr>
              <w:t>benefit</w:t>
            </w:r>
          </w:p>
        </w:tc>
        <w:tc>
          <w:tcPr>
            <w:tcW w:w="1848" w:type="dxa"/>
          </w:tcPr>
          <w:p w:rsidR="00F637E6" w:rsidRPr="00F637E6" w:rsidRDefault="007B2F9A">
            <w:pPr>
              <w:rPr>
                <w:rFonts w:ascii="Arial" w:hAnsi="Arial" w:cs="Arial"/>
                <w:b/>
                <w:sz w:val="24"/>
                <w:szCs w:val="24"/>
              </w:rPr>
            </w:pPr>
            <w:r>
              <w:rPr>
                <w:rFonts w:ascii="Arial" w:hAnsi="Arial" w:cs="Arial"/>
                <w:b/>
                <w:sz w:val="24"/>
                <w:szCs w:val="24"/>
              </w:rPr>
              <w:t xml:space="preserve">Per-household </w:t>
            </w:r>
            <w:r w:rsidR="00596D51">
              <w:rPr>
                <w:rFonts w:ascii="Arial" w:hAnsi="Arial" w:cs="Arial"/>
                <w:b/>
                <w:sz w:val="24"/>
                <w:szCs w:val="24"/>
              </w:rPr>
              <w:t xml:space="preserve">economic </w:t>
            </w:r>
            <w:r>
              <w:rPr>
                <w:rFonts w:ascii="Arial" w:hAnsi="Arial" w:cs="Arial"/>
                <w:b/>
                <w:sz w:val="24"/>
                <w:szCs w:val="24"/>
              </w:rPr>
              <w:t>benefit</w:t>
            </w:r>
          </w:p>
        </w:tc>
        <w:tc>
          <w:tcPr>
            <w:tcW w:w="1511" w:type="dxa"/>
          </w:tcPr>
          <w:p w:rsidR="00F637E6" w:rsidRPr="00F637E6" w:rsidRDefault="00596D51">
            <w:pPr>
              <w:rPr>
                <w:rFonts w:ascii="Arial" w:hAnsi="Arial" w:cs="Arial"/>
                <w:b/>
                <w:sz w:val="24"/>
                <w:szCs w:val="24"/>
              </w:rPr>
            </w:pPr>
            <w:r>
              <w:rPr>
                <w:rFonts w:ascii="Arial" w:hAnsi="Arial" w:cs="Arial"/>
                <w:b/>
                <w:sz w:val="24"/>
                <w:szCs w:val="24"/>
              </w:rPr>
              <w:t>Economic Impact per open hour</w:t>
            </w:r>
          </w:p>
        </w:tc>
        <w:tc>
          <w:tcPr>
            <w:tcW w:w="1574" w:type="dxa"/>
          </w:tcPr>
          <w:p w:rsidR="00F637E6" w:rsidRDefault="004930BE">
            <w:pPr>
              <w:rPr>
                <w:rFonts w:ascii="Arial" w:hAnsi="Arial" w:cs="Arial"/>
                <w:b/>
                <w:sz w:val="24"/>
                <w:szCs w:val="24"/>
              </w:rPr>
            </w:pPr>
            <w:r>
              <w:rPr>
                <w:rFonts w:ascii="Arial" w:hAnsi="Arial" w:cs="Arial"/>
                <w:b/>
                <w:sz w:val="24"/>
                <w:szCs w:val="24"/>
              </w:rPr>
              <w:t>E</w:t>
            </w:r>
            <w:r w:rsidR="00596D51">
              <w:rPr>
                <w:rFonts w:ascii="Arial" w:hAnsi="Arial" w:cs="Arial"/>
                <w:b/>
                <w:sz w:val="24"/>
                <w:szCs w:val="24"/>
              </w:rPr>
              <w:t>ROI</w:t>
            </w:r>
            <w:r>
              <w:rPr>
                <w:rFonts w:ascii="Arial" w:hAnsi="Arial" w:cs="Arial"/>
                <w:b/>
                <w:sz w:val="24"/>
                <w:szCs w:val="24"/>
              </w:rPr>
              <w:t xml:space="preserve"> &amp; SROI</w:t>
            </w:r>
          </w:p>
          <w:p w:rsidR="00596D51" w:rsidRPr="00F637E6" w:rsidRDefault="00596D51">
            <w:pPr>
              <w:rPr>
                <w:rFonts w:ascii="Arial" w:hAnsi="Arial" w:cs="Arial"/>
                <w:b/>
                <w:sz w:val="24"/>
                <w:szCs w:val="24"/>
              </w:rPr>
            </w:pPr>
            <w:r>
              <w:rPr>
                <w:rFonts w:ascii="Arial" w:hAnsi="Arial" w:cs="Arial"/>
                <w:b/>
                <w:sz w:val="24"/>
                <w:szCs w:val="24"/>
              </w:rPr>
              <w:t>Total</w:t>
            </w:r>
          </w:p>
        </w:tc>
        <w:tc>
          <w:tcPr>
            <w:tcW w:w="1511" w:type="dxa"/>
          </w:tcPr>
          <w:p w:rsidR="004930BE" w:rsidRDefault="004930BE" w:rsidP="004930BE">
            <w:pPr>
              <w:rPr>
                <w:rFonts w:ascii="Arial" w:hAnsi="Arial" w:cs="Arial"/>
                <w:b/>
                <w:sz w:val="24"/>
                <w:szCs w:val="24"/>
              </w:rPr>
            </w:pPr>
            <w:r>
              <w:rPr>
                <w:rFonts w:ascii="Arial" w:hAnsi="Arial" w:cs="Arial"/>
                <w:b/>
                <w:sz w:val="24"/>
                <w:szCs w:val="24"/>
              </w:rPr>
              <w:t>EROI &amp; SROI</w:t>
            </w:r>
          </w:p>
          <w:p w:rsidR="00596D51" w:rsidRPr="00F637E6" w:rsidRDefault="00596D51">
            <w:pPr>
              <w:rPr>
                <w:rFonts w:ascii="Arial" w:hAnsi="Arial" w:cs="Arial"/>
                <w:b/>
                <w:sz w:val="24"/>
                <w:szCs w:val="24"/>
              </w:rPr>
            </w:pPr>
            <w:r>
              <w:rPr>
                <w:rFonts w:ascii="Arial" w:hAnsi="Arial" w:cs="Arial"/>
                <w:b/>
                <w:sz w:val="24"/>
                <w:szCs w:val="24"/>
              </w:rPr>
              <w:t>Per dollar</w:t>
            </w:r>
          </w:p>
        </w:tc>
        <w:tc>
          <w:tcPr>
            <w:tcW w:w="1511" w:type="dxa"/>
          </w:tcPr>
          <w:p w:rsidR="004930BE" w:rsidRDefault="004930BE" w:rsidP="004930BE">
            <w:pPr>
              <w:rPr>
                <w:rFonts w:ascii="Arial" w:hAnsi="Arial" w:cs="Arial"/>
                <w:b/>
                <w:sz w:val="24"/>
                <w:szCs w:val="24"/>
              </w:rPr>
            </w:pPr>
            <w:r>
              <w:rPr>
                <w:rFonts w:ascii="Arial" w:hAnsi="Arial" w:cs="Arial"/>
                <w:b/>
                <w:sz w:val="24"/>
                <w:szCs w:val="24"/>
              </w:rPr>
              <w:t>EROI &amp; SROI</w:t>
            </w:r>
          </w:p>
          <w:p w:rsidR="00F637E6" w:rsidRPr="00F637E6" w:rsidRDefault="00596D51" w:rsidP="00596D51">
            <w:pPr>
              <w:rPr>
                <w:rFonts w:ascii="Arial" w:hAnsi="Arial" w:cs="Arial"/>
                <w:b/>
                <w:sz w:val="24"/>
                <w:szCs w:val="24"/>
              </w:rPr>
            </w:pPr>
            <w:r>
              <w:rPr>
                <w:rFonts w:ascii="Arial" w:hAnsi="Arial" w:cs="Arial"/>
                <w:b/>
                <w:sz w:val="24"/>
                <w:szCs w:val="24"/>
              </w:rPr>
              <w:t>percentage</w:t>
            </w:r>
          </w:p>
        </w:tc>
      </w:tr>
      <w:tr w:rsidR="00596D51" w:rsidTr="00596D51">
        <w:trPr>
          <w:trHeight w:val="375"/>
        </w:trPr>
        <w:tc>
          <w:tcPr>
            <w:tcW w:w="2193" w:type="dxa"/>
          </w:tcPr>
          <w:p w:rsidR="00596D51" w:rsidRDefault="00596D51">
            <w:pPr>
              <w:rPr>
                <w:rFonts w:ascii="Arial" w:hAnsi="Arial" w:cs="Arial"/>
                <w:sz w:val="24"/>
                <w:szCs w:val="24"/>
              </w:rPr>
            </w:pPr>
          </w:p>
        </w:tc>
        <w:tc>
          <w:tcPr>
            <w:tcW w:w="1509" w:type="dxa"/>
          </w:tcPr>
          <w:p w:rsidR="00596D51" w:rsidRDefault="00596D51">
            <w:pPr>
              <w:rPr>
                <w:rFonts w:ascii="Arial" w:hAnsi="Arial" w:cs="Arial"/>
                <w:sz w:val="24"/>
                <w:szCs w:val="24"/>
              </w:rPr>
            </w:pPr>
          </w:p>
        </w:tc>
        <w:tc>
          <w:tcPr>
            <w:tcW w:w="1511" w:type="dxa"/>
          </w:tcPr>
          <w:p w:rsidR="00596D51" w:rsidRDefault="00596D51">
            <w:pPr>
              <w:rPr>
                <w:rFonts w:ascii="Arial" w:hAnsi="Arial" w:cs="Arial"/>
                <w:sz w:val="24"/>
                <w:szCs w:val="24"/>
              </w:rPr>
            </w:pPr>
          </w:p>
        </w:tc>
        <w:tc>
          <w:tcPr>
            <w:tcW w:w="1848" w:type="dxa"/>
          </w:tcPr>
          <w:p w:rsidR="00596D51" w:rsidRDefault="00596D51">
            <w:pPr>
              <w:rPr>
                <w:rFonts w:ascii="Arial" w:hAnsi="Arial" w:cs="Arial"/>
                <w:sz w:val="24"/>
                <w:szCs w:val="24"/>
              </w:rPr>
            </w:pPr>
          </w:p>
        </w:tc>
        <w:tc>
          <w:tcPr>
            <w:tcW w:w="1511" w:type="dxa"/>
          </w:tcPr>
          <w:p w:rsidR="00596D51" w:rsidRDefault="00596D51">
            <w:pPr>
              <w:rPr>
                <w:rFonts w:ascii="Arial" w:hAnsi="Arial" w:cs="Arial"/>
                <w:sz w:val="24"/>
                <w:szCs w:val="24"/>
              </w:rPr>
            </w:pPr>
          </w:p>
        </w:tc>
        <w:tc>
          <w:tcPr>
            <w:tcW w:w="1574" w:type="dxa"/>
          </w:tcPr>
          <w:p w:rsidR="00596D51" w:rsidRDefault="00596D51">
            <w:pPr>
              <w:rPr>
                <w:rFonts w:ascii="Arial" w:hAnsi="Arial" w:cs="Arial"/>
                <w:sz w:val="24"/>
                <w:szCs w:val="24"/>
              </w:rPr>
            </w:pPr>
          </w:p>
        </w:tc>
        <w:tc>
          <w:tcPr>
            <w:tcW w:w="1511" w:type="dxa"/>
          </w:tcPr>
          <w:p w:rsidR="00596D51" w:rsidRDefault="00596D51">
            <w:pPr>
              <w:rPr>
                <w:rFonts w:ascii="Arial" w:hAnsi="Arial" w:cs="Arial"/>
                <w:sz w:val="24"/>
                <w:szCs w:val="24"/>
              </w:rPr>
            </w:pPr>
          </w:p>
        </w:tc>
        <w:tc>
          <w:tcPr>
            <w:tcW w:w="1511" w:type="dxa"/>
          </w:tcPr>
          <w:p w:rsidR="00596D51" w:rsidRDefault="00596D51">
            <w:pPr>
              <w:rPr>
                <w:rFonts w:ascii="Arial" w:hAnsi="Arial" w:cs="Arial"/>
                <w:sz w:val="24"/>
                <w:szCs w:val="24"/>
              </w:rPr>
            </w:pPr>
          </w:p>
        </w:tc>
      </w:tr>
      <w:tr w:rsidR="00596D51" w:rsidTr="00596D51">
        <w:trPr>
          <w:trHeight w:val="375"/>
        </w:trPr>
        <w:tc>
          <w:tcPr>
            <w:tcW w:w="2193" w:type="dxa"/>
          </w:tcPr>
          <w:p w:rsidR="00F637E6" w:rsidRDefault="00F637E6">
            <w:pPr>
              <w:rPr>
                <w:rFonts w:ascii="Arial" w:hAnsi="Arial" w:cs="Arial"/>
                <w:sz w:val="24"/>
                <w:szCs w:val="24"/>
              </w:rPr>
            </w:pPr>
            <w:r>
              <w:rPr>
                <w:rFonts w:ascii="Arial" w:hAnsi="Arial" w:cs="Arial"/>
                <w:sz w:val="24"/>
                <w:szCs w:val="24"/>
              </w:rPr>
              <w:t>Dryden</w:t>
            </w:r>
            <w:r w:rsidR="000B34B1">
              <w:rPr>
                <w:rFonts w:ascii="Arial" w:hAnsi="Arial" w:cs="Arial"/>
                <w:sz w:val="24"/>
                <w:szCs w:val="24"/>
              </w:rPr>
              <w:t xml:space="preserve"> PL </w:t>
            </w:r>
          </w:p>
        </w:tc>
        <w:tc>
          <w:tcPr>
            <w:tcW w:w="1509" w:type="dxa"/>
          </w:tcPr>
          <w:p w:rsidR="00F637E6" w:rsidRDefault="00596D51">
            <w:pPr>
              <w:rPr>
                <w:rFonts w:ascii="Arial" w:hAnsi="Arial" w:cs="Arial"/>
                <w:sz w:val="24"/>
                <w:szCs w:val="24"/>
              </w:rPr>
            </w:pPr>
            <w:r>
              <w:rPr>
                <w:rFonts w:ascii="Arial" w:hAnsi="Arial" w:cs="Arial"/>
                <w:sz w:val="24"/>
                <w:szCs w:val="24"/>
              </w:rPr>
              <w:t>$301,347</w:t>
            </w:r>
          </w:p>
        </w:tc>
        <w:tc>
          <w:tcPr>
            <w:tcW w:w="1511" w:type="dxa"/>
          </w:tcPr>
          <w:p w:rsidR="00F637E6" w:rsidRDefault="00596D51">
            <w:pPr>
              <w:rPr>
                <w:rFonts w:ascii="Arial" w:hAnsi="Arial" w:cs="Arial"/>
                <w:sz w:val="24"/>
                <w:szCs w:val="24"/>
              </w:rPr>
            </w:pPr>
            <w:r>
              <w:rPr>
                <w:rFonts w:ascii="Arial" w:hAnsi="Arial" w:cs="Arial"/>
                <w:sz w:val="24"/>
                <w:szCs w:val="24"/>
              </w:rPr>
              <w:t>$1,590</w:t>
            </w:r>
            <w:r w:rsidR="00550402">
              <w:rPr>
                <w:rFonts w:ascii="Arial" w:hAnsi="Arial" w:cs="Arial"/>
                <w:sz w:val="24"/>
                <w:szCs w:val="24"/>
              </w:rPr>
              <w:t>.00</w:t>
            </w:r>
          </w:p>
        </w:tc>
        <w:tc>
          <w:tcPr>
            <w:tcW w:w="1848" w:type="dxa"/>
          </w:tcPr>
          <w:p w:rsidR="00F637E6" w:rsidRDefault="00596D51" w:rsidP="00596D51">
            <w:pPr>
              <w:rPr>
                <w:rFonts w:ascii="Arial" w:hAnsi="Arial" w:cs="Arial"/>
                <w:sz w:val="24"/>
                <w:szCs w:val="24"/>
              </w:rPr>
            </w:pPr>
            <w:r>
              <w:rPr>
                <w:rFonts w:ascii="Arial" w:hAnsi="Arial" w:cs="Arial"/>
                <w:sz w:val="24"/>
                <w:szCs w:val="24"/>
              </w:rPr>
              <w:t>$726.78</w:t>
            </w:r>
          </w:p>
        </w:tc>
        <w:tc>
          <w:tcPr>
            <w:tcW w:w="1511" w:type="dxa"/>
          </w:tcPr>
          <w:p w:rsidR="00F637E6" w:rsidRDefault="00596D51">
            <w:pPr>
              <w:rPr>
                <w:rFonts w:ascii="Arial" w:hAnsi="Arial" w:cs="Arial"/>
                <w:sz w:val="24"/>
                <w:szCs w:val="24"/>
              </w:rPr>
            </w:pPr>
            <w:r>
              <w:rPr>
                <w:rFonts w:ascii="Arial" w:hAnsi="Arial" w:cs="Arial"/>
                <w:sz w:val="24"/>
                <w:szCs w:val="24"/>
              </w:rPr>
              <w:t>$931.80</w:t>
            </w:r>
          </w:p>
        </w:tc>
        <w:tc>
          <w:tcPr>
            <w:tcW w:w="1574"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5,631,828</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18.68</w:t>
            </w:r>
          </w:p>
        </w:tc>
        <w:tc>
          <w:tcPr>
            <w:tcW w:w="1511" w:type="dxa"/>
          </w:tcPr>
          <w:p w:rsidR="00F637E6" w:rsidRDefault="009D066A">
            <w:pPr>
              <w:rPr>
                <w:rFonts w:ascii="Arial" w:hAnsi="Arial" w:cs="Arial"/>
                <w:sz w:val="24"/>
                <w:szCs w:val="24"/>
              </w:rPr>
            </w:pPr>
            <w:r>
              <w:rPr>
                <w:rFonts w:ascii="Arial" w:hAnsi="Arial" w:cs="Arial"/>
                <w:sz w:val="24"/>
                <w:szCs w:val="24"/>
              </w:rPr>
              <w:t>1,868%</w:t>
            </w:r>
          </w:p>
        </w:tc>
      </w:tr>
      <w:tr w:rsidR="00596D51" w:rsidTr="00596D51">
        <w:trPr>
          <w:trHeight w:val="375"/>
        </w:trPr>
        <w:tc>
          <w:tcPr>
            <w:tcW w:w="2193" w:type="dxa"/>
          </w:tcPr>
          <w:p w:rsidR="00F637E6" w:rsidRDefault="00F637E6">
            <w:pPr>
              <w:rPr>
                <w:rFonts w:ascii="Arial" w:hAnsi="Arial" w:cs="Arial"/>
                <w:sz w:val="24"/>
                <w:szCs w:val="24"/>
              </w:rPr>
            </w:pPr>
            <w:r>
              <w:rPr>
                <w:rFonts w:ascii="Arial" w:hAnsi="Arial" w:cs="Arial"/>
                <w:sz w:val="24"/>
                <w:szCs w:val="24"/>
              </w:rPr>
              <w:t>Kenora</w:t>
            </w:r>
            <w:r w:rsidR="000B34B1">
              <w:rPr>
                <w:rFonts w:ascii="Arial" w:hAnsi="Arial" w:cs="Arial"/>
                <w:sz w:val="24"/>
                <w:szCs w:val="24"/>
              </w:rPr>
              <w:t xml:space="preserve"> PL</w:t>
            </w:r>
          </w:p>
        </w:tc>
        <w:tc>
          <w:tcPr>
            <w:tcW w:w="1509" w:type="dxa"/>
          </w:tcPr>
          <w:p w:rsidR="00F637E6" w:rsidRDefault="00596D51">
            <w:pPr>
              <w:rPr>
                <w:rFonts w:ascii="Arial" w:hAnsi="Arial" w:cs="Arial"/>
                <w:sz w:val="24"/>
                <w:szCs w:val="24"/>
              </w:rPr>
            </w:pPr>
            <w:r>
              <w:rPr>
                <w:rFonts w:ascii="Arial" w:hAnsi="Arial" w:cs="Arial"/>
                <w:sz w:val="24"/>
                <w:szCs w:val="24"/>
              </w:rPr>
              <w:t>$614,634</w:t>
            </w:r>
          </w:p>
        </w:tc>
        <w:tc>
          <w:tcPr>
            <w:tcW w:w="1511" w:type="dxa"/>
          </w:tcPr>
          <w:p w:rsidR="00F637E6" w:rsidRDefault="00596D51" w:rsidP="00596D51">
            <w:pPr>
              <w:rPr>
                <w:rFonts w:ascii="Arial" w:hAnsi="Arial" w:cs="Arial"/>
                <w:sz w:val="24"/>
                <w:szCs w:val="24"/>
              </w:rPr>
            </w:pPr>
            <w:r>
              <w:rPr>
                <w:rFonts w:ascii="Arial" w:hAnsi="Arial" w:cs="Arial"/>
                <w:sz w:val="24"/>
                <w:szCs w:val="24"/>
              </w:rPr>
              <w:t>$972</w:t>
            </w:r>
            <w:r w:rsidR="00550402">
              <w:rPr>
                <w:rFonts w:ascii="Arial" w:hAnsi="Arial" w:cs="Arial"/>
                <w:sz w:val="24"/>
                <w:szCs w:val="24"/>
              </w:rPr>
              <w:t>.00</w:t>
            </w:r>
          </w:p>
        </w:tc>
        <w:tc>
          <w:tcPr>
            <w:tcW w:w="1848" w:type="dxa"/>
          </w:tcPr>
          <w:p w:rsidR="00F637E6" w:rsidRDefault="00596D51" w:rsidP="00596D51">
            <w:pPr>
              <w:rPr>
                <w:rFonts w:ascii="Arial" w:hAnsi="Arial" w:cs="Arial"/>
                <w:sz w:val="24"/>
                <w:szCs w:val="24"/>
              </w:rPr>
            </w:pPr>
            <w:r>
              <w:rPr>
                <w:rFonts w:ascii="Arial" w:hAnsi="Arial" w:cs="Arial"/>
                <w:sz w:val="24"/>
                <w:szCs w:val="24"/>
              </w:rPr>
              <w:t>$1,988</w:t>
            </w:r>
          </w:p>
        </w:tc>
        <w:tc>
          <w:tcPr>
            <w:tcW w:w="1511" w:type="dxa"/>
          </w:tcPr>
          <w:p w:rsidR="00F637E6" w:rsidRDefault="00596D51" w:rsidP="00596D51">
            <w:pPr>
              <w:rPr>
                <w:rFonts w:ascii="Arial" w:hAnsi="Arial" w:cs="Arial"/>
                <w:sz w:val="24"/>
                <w:szCs w:val="24"/>
              </w:rPr>
            </w:pPr>
            <w:r>
              <w:rPr>
                <w:rFonts w:ascii="Arial" w:hAnsi="Arial" w:cs="Arial"/>
                <w:sz w:val="24"/>
                <w:szCs w:val="24"/>
              </w:rPr>
              <w:t>$2,331</w:t>
            </w:r>
          </w:p>
        </w:tc>
        <w:tc>
          <w:tcPr>
            <w:tcW w:w="1574" w:type="dxa"/>
          </w:tcPr>
          <w:p w:rsidR="00F637E6" w:rsidRDefault="00596D51">
            <w:pPr>
              <w:rPr>
                <w:rFonts w:ascii="Arial" w:hAnsi="Arial" w:cs="Arial"/>
                <w:sz w:val="24"/>
                <w:szCs w:val="24"/>
              </w:rPr>
            </w:pPr>
            <w:r>
              <w:rPr>
                <w:rFonts w:ascii="Arial" w:hAnsi="Arial" w:cs="Arial"/>
                <w:sz w:val="24"/>
                <w:szCs w:val="24"/>
              </w:rPr>
              <w:t>$14,665,861</w:t>
            </w:r>
          </w:p>
        </w:tc>
        <w:tc>
          <w:tcPr>
            <w:tcW w:w="1511" w:type="dxa"/>
          </w:tcPr>
          <w:p w:rsidR="00F637E6" w:rsidRDefault="00596D51">
            <w:pPr>
              <w:rPr>
                <w:rFonts w:ascii="Arial" w:hAnsi="Arial" w:cs="Arial"/>
                <w:sz w:val="24"/>
                <w:szCs w:val="24"/>
              </w:rPr>
            </w:pPr>
            <w:r>
              <w:rPr>
                <w:rFonts w:ascii="Arial" w:hAnsi="Arial" w:cs="Arial"/>
                <w:sz w:val="24"/>
                <w:szCs w:val="24"/>
              </w:rPr>
              <w:t>$23.86</w:t>
            </w:r>
          </w:p>
        </w:tc>
        <w:tc>
          <w:tcPr>
            <w:tcW w:w="1511" w:type="dxa"/>
          </w:tcPr>
          <w:p w:rsidR="00F637E6" w:rsidRDefault="00596D51">
            <w:pPr>
              <w:rPr>
                <w:rFonts w:ascii="Arial" w:hAnsi="Arial" w:cs="Arial"/>
                <w:sz w:val="24"/>
                <w:szCs w:val="24"/>
              </w:rPr>
            </w:pPr>
            <w:r>
              <w:rPr>
                <w:rFonts w:ascii="Arial" w:hAnsi="Arial" w:cs="Arial"/>
                <w:sz w:val="24"/>
                <w:szCs w:val="24"/>
              </w:rPr>
              <w:t>2,386%</w:t>
            </w:r>
          </w:p>
        </w:tc>
      </w:tr>
      <w:tr w:rsidR="00596D51" w:rsidTr="00596D51">
        <w:trPr>
          <w:trHeight w:val="375"/>
        </w:trPr>
        <w:tc>
          <w:tcPr>
            <w:tcW w:w="2193" w:type="dxa"/>
          </w:tcPr>
          <w:p w:rsidR="00F637E6" w:rsidRDefault="00F637E6">
            <w:pPr>
              <w:rPr>
                <w:rFonts w:ascii="Arial" w:hAnsi="Arial" w:cs="Arial"/>
                <w:sz w:val="24"/>
                <w:szCs w:val="24"/>
              </w:rPr>
            </w:pPr>
            <w:r>
              <w:rPr>
                <w:rFonts w:ascii="Arial" w:hAnsi="Arial" w:cs="Arial"/>
                <w:sz w:val="24"/>
                <w:szCs w:val="24"/>
              </w:rPr>
              <w:t>Powassan</w:t>
            </w:r>
            <w:r w:rsidR="000B34B1">
              <w:rPr>
                <w:rFonts w:ascii="Arial" w:hAnsi="Arial" w:cs="Arial"/>
                <w:sz w:val="24"/>
                <w:szCs w:val="24"/>
              </w:rPr>
              <w:t xml:space="preserve"> &amp; District Union PL</w:t>
            </w:r>
          </w:p>
        </w:tc>
        <w:tc>
          <w:tcPr>
            <w:tcW w:w="1509"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151,930</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361.09</w:t>
            </w:r>
          </w:p>
        </w:tc>
        <w:tc>
          <w:tcPr>
            <w:tcW w:w="1848"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694.05</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344.45</w:t>
            </w:r>
          </w:p>
        </w:tc>
        <w:tc>
          <w:tcPr>
            <w:tcW w:w="1574"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2,494,398</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16.42</w:t>
            </w:r>
          </w:p>
        </w:tc>
        <w:tc>
          <w:tcPr>
            <w:tcW w:w="1511" w:type="dxa"/>
          </w:tcPr>
          <w:p w:rsidR="00F637E6" w:rsidRDefault="009D066A">
            <w:pPr>
              <w:rPr>
                <w:rFonts w:ascii="Arial" w:hAnsi="Arial" w:cs="Arial"/>
                <w:sz w:val="24"/>
                <w:szCs w:val="24"/>
              </w:rPr>
            </w:pPr>
            <w:r>
              <w:rPr>
                <w:rFonts w:ascii="Arial" w:hAnsi="Arial" w:cs="Arial"/>
                <w:sz w:val="24"/>
                <w:szCs w:val="24"/>
              </w:rPr>
              <w:t>1,642%</w:t>
            </w:r>
          </w:p>
        </w:tc>
      </w:tr>
      <w:tr w:rsidR="00596D51" w:rsidTr="00596D51">
        <w:trPr>
          <w:trHeight w:val="395"/>
        </w:trPr>
        <w:tc>
          <w:tcPr>
            <w:tcW w:w="2193" w:type="dxa"/>
          </w:tcPr>
          <w:p w:rsidR="00F637E6" w:rsidRDefault="00F637E6" w:rsidP="00F637E6">
            <w:pPr>
              <w:rPr>
                <w:rFonts w:ascii="Arial" w:hAnsi="Arial" w:cs="Arial"/>
                <w:sz w:val="24"/>
                <w:szCs w:val="24"/>
              </w:rPr>
            </w:pPr>
            <w:r>
              <w:rPr>
                <w:rFonts w:ascii="Arial" w:hAnsi="Arial" w:cs="Arial"/>
                <w:sz w:val="24"/>
                <w:szCs w:val="24"/>
              </w:rPr>
              <w:t>Rainy River</w:t>
            </w:r>
            <w:r w:rsidR="000B34B1">
              <w:rPr>
                <w:rFonts w:ascii="Arial" w:hAnsi="Arial" w:cs="Arial"/>
                <w:sz w:val="24"/>
                <w:szCs w:val="24"/>
              </w:rPr>
              <w:t xml:space="preserve"> PL</w:t>
            </w:r>
          </w:p>
        </w:tc>
        <w:tc>
          <w:tcPr>
            <w:tcW w:w="1509" w:type="dxa"/>
          </w:tcPr>
          <w:p w:rsidR="00F637E6" w:rsidRDefault="00596D51">
            <w:pPr>
              <w:rPr>
                <w:rFonts w:ascii="Arial" w:hAnsi="Arial" w:cs="Arial"/>
                <w:sz w:val="24"/>
                <w:szCs w:val="24"/>
              </w:rPr>
            </w:pPr>
            <w:r>
              <w:rPr>
                <w:rFonts w:ascii="Arial" w:hAnsi="Arial" w:cs="Arial"/>
                <w:sz w:val="24"/>
                <w:szCs w:val="24"/>
              </w:rPr>
              <w:t>$</w:t>
            </w:r>
            <w:r w:rsidR="00550402">
              <w:rPr>
                <w:rFonts w:ascii="Arial" w:hAnsi="Arial" w:cs="Arial"/>
                <w:sz w:val="24"/>
                <w:szCs w:val="24"/>
              </w:rPr>
              <w:t>35,002</w:t>
            </w:r>
          </w:p>
        </w:tc>
        <w:tc>
          <w:tcPr>
            <w:tcW w:w="1511" w:type="dxa"/>
          </w:tcPr>
          <w:p w:rsidR="00F637E6" w:rsidRDefault="00596D51" w:rsidP="00550402">
            <w:pPr>
              <w:rPr>
                <w:rFonts w:ascii="Arial" w:hAnsi="Arial" w:cs="Arial"/>
                <w:sz w:val="24"/>
                <w:szCs w:val="24"/>
              </w:rPr>
            </w:pPr>
            <w:r>
              <w:rPr>
                <w:rFonts w:ascii="Arial" w:hAnsi="Arial" w:cs="Arial"/>
                <w:sz w:val="24"/>
                <w:szCs w:val="24"/>
              </w:rPr>
              <w:t>$</w:t>
            </w:r>
            <w:r w:rsidR="00550402">
              <w:rPr>
                <w:rFonts w:ascii="Arial" w:hAnsi="Arial" w:cs="Arial"/>
                <w:sz w:val="24"/>
                <w:szCs w:val="24"/>
              </w:rPr>
              <w:t>505.36</w:t>
            </w:r>
          </w:p>
        </w:tc>
        <w:tc>
          <w:tcPr>
            <w:tcW w:w="1848" w:type="dxa"/>
          </w:tcPr>
          <w:p w:rsidR="00F637E6" w:rsidRDefault="00596D51" w:rsidP="00550402">
            <w:pPr>
              <w:rPr>
                <w:rFonts w:ascii="Arial" w:hAnsi="Arial" w:cs="Arial"/>
                <w:sz w:val="24"/>
                <w:szCs w:val="24"/>
              </w:rPr>
            </w:pPr>
            <w:r>
              <w:rPr>
                <w:rFonts w:ascii="Arial" w:hAnsi="Arial" w:cs="Arial"/>
                <w:sz w:val="24"/>
                <w:szCs w:val="24"/>
              </w:rPr>
              <w:t>$</w:t>
            </w:r>
            <w:r w:rsidR="00550402">
              <w:rPr>
                <w:rFonts w:ascii="Arial" w:hAnsi="Arial" w:cs="Arial"/>
                <w:sz w:val="24"/>
                <w:szCs w:val="24"/>
              </w:rPr>
              <w:t>678</w:t>
            </w:r>
            <w:r w:rsidR="009D066A">
              <w:rPr>
                <w:rFonts w:ascii="Arial" w:hAnsi="Arial" w:cs="Arial"/>
                <w:sz w:val="24"/>
                <w:szCs w:val="24"/>
              </w:rPr>
              <w:t>.</w:t>
            </w:r>
            <w:r w:rsidR="00550402">
              <w:rPr>
                <w:rFonts w:ascii="Arial" w:hAnsi="Arial" w:cs="Arial"/>
                <w:sz w:val="24"/>
                <w:szCs w:val="24"/>
              </w:rPr>
              <w:t>60</w:t>
            </w:r>
          </w:p>
        </w:tc>
        <w:tc>
          <w:tcPr>
            <w:tcW w:w="1511" w:type="dxa"/>
          </w:tcPr>
          <w:p w:rsidR="00F637E6" w:rsidRDefault="00596D51" w:rsidP="00550402">
            <w:pPr>
              <w:rPr>
                <w:rFonts w:ascii="Arial" w:hAnsi="Arial" w:cs="Arial"/>
                <w:sz w:val="24"/>
                <w:szCs w:val="24"/>
              </w:rPr>
            </w:pPr>
            <w:r>
              <w:rPr>
                <w:rFonts w:ascii="Arial" w:hAnsi="Arial" w:cs="Arial"/>
                <w:sz w:val="24"/>
                <w:szCs w:val="24"/>
              </w:rPr>
              <w:t>$</w:t>
            </w:r>
            <w:r w:rsidR="009D066A">
              <w:rPr>
                <w:rFonts w:ascii="Arial" w:hAnsi="Arial" w:cs="Arial"/>
                <w:sz w:val="24"/>
                <w:szCs w:val="24"/>
              </w:rPr>
              <w:t>2</w:t>
            </w:r>
            <w:r w:rsidR="00550402">
              <w:rPr>
                <w:rFonts w:ascii="Arial" w:hAnsi="Arial" w:cs="Arial"/>
                <w:sz w:val="24"/>
                <w:szCs w:val="24"/>
              </w:rPr>
              <w:t>76.23</w:t>
            </w:r>
          </w:p>
        </w:tc>
        <w:tc>
          <w:tcPr>
            <w:tcW w:w="1574" w:type="dxa"/>
          </w:tcPr>
          <w:p w:rsidR="00F637E6" w:rsidRDefault="00596D51" w:rsidP="00550402">
            <w:pPr>
              <w:rPr>
                <w:rFonts w:ascii="Arial" w:hAnsi="Arial" w:cs="Arial"/>
                <w:sz w:val="24"/>
                <w:szCs w:val="24"/>
              </w:rPr>
            </w:pPr>
            <w:r>
              <w:rPr>
                <w:rFonts w:ascii="Arial" w:hAnsi="Arial" w:cs="Arial"/>
                <w:sz w:val="24"/>
                <w:szCs w:val="24"/>
              </w:rPr>
              <w:t>$</w:t>
            </w:r>
            <w:r w:rsidR="000B34B1">
              <w:rPr>
                <w:rFonts w:ascii="Arial" w:hAnsi="Arial" w:cs="Arial"/>
                <w:sz w:val="24"/>
                <w:szCs w:val="24"/>
              </w:rPr>
              <w:t>1,</w:t>
            </w:r>
            <w:r w:rsidR="00550402">
              <w:rPr>
                <w:rFonts w:ascii="Arial" w:hAnsi="Arial" w:cs="Arial"/>
                <w:sz w:val="24"/>
                <w:szCs w:val="24"/>
              </w:rPr>
              <w:t>003</w:t>
            </w:r>
            <w:r w:rsidR="009D066A">
              <w:rPr>
                <w:rFonts w:ascii="Arial" w:hAnsi="Arial" w:cs="Arial"/>
                <w:sz w:val="24"/>
                <w:szCs w:val="24"/>
              </w:rPr>
              <w:t>,44</w:t>
            </w:r>
            <w:r w:rsidR="00550402">
              <w:rPr>
                <w:rFonts w:ascii="Arial" w:hAnsi="Arial" w:cs="Arial"/>
                <w:sz w:val="24"/>
                <w:szCs w:val="24"/>
              </w:rPr>
              <w:t>0</w:t>
            </w:r>
          </w:p>
        </w:tc>
        <w:tc>
          <w:tcPr>
            <w:tcW w:w="1511" w:type="dxa"/>
          </w:tcPr>
          <w:p w:rsidR="00F637E6" w:rsidRDefault="00596D51">
            <w:pPr>
              <w:rPr>
                <w:rFonts w:ascii="Arial" w:hAnsi="Arial" w:cs="Arial"/>
                <w:sz w:val="24"/>
                <w:szCs w:val="24"/>
              </w:rPr>
            </w:pPr>
            <w:r>
              <w:rPr>
                <w:rFonts w:ascii="Arial" w:hAnsi="Arial" w:cs="Arial"/>
                <w:sz w:val="24"/>
                <w:szCs w:val="24"/>
              </w:rPr>
              <w:t>$</w:t>
            </w:r>
            <w:r w:rsidR="00550402">
              <w:rPr>
                <w:rFonts w:ascii="Arial" w:hAnsi="Arial" w:cs="Arial"/>
                <w:sz w:val="24"/>
                <w:szCs w:val="24"/>
              </w:rPr>
              <w:t>17.16</w:t>
            </w:r>
          </w:p>
        </w:tc>
        <w:tc>
          <w:tcPr>
            <w:tcW w:w="1511" w:type="dxa"/>
          </w:tcPr>
          <w:p w:rsidR="00F637E6" w:rsidRDefault="009D066A">
            <w:pPr>
              <w:rPr>
                <w:rFonts w:ascii="Arial" w:hAnsi="Arial" w:cs="Arial"/>
                <w:sz w:val="24"/>
                <w:szCs w:val="24"/>
              </w:rPr>
            </w:pPr>
            <w:r>
              <w:rPr>
                <w:rFonts w:ascii="Arial" w:hAnsi="Arial" w:cs="Arial"/>
                <w:sz w:val="24"/>
                <w:szCs w:val="24"/>
              </w:rPr>
              <w:t>3,474%</w:t>
            </w:r>
          </w:p>
        </w:tc>
      </w:tr>
      <w:tr w:rsidR="00596D51" w:rsidTr="00596D51">
        <w:trPr>
          <w:trHeight w:val="750"/>
        </w:trPr>
        <w:tc>
          <w:tcPr>
            <w:tcW w:w="2193" w:type="dxa"/>
          </w:tcPr>
          <w:p w:rsidR="00F637E6" w:rsidRDefault="00F637E6">
            <w:pPr>
              <w:rPr>
                <w:rFonts w:ascii="Arial" w:hAnsi="Arial" w:cs="Arial"/>
                <w:sz w:val="24"/>
                <w:szCs w:val="24"/>
              </w:rPr>
            </w:pPr>
            <w:r>
              <w:rPr>
                <w:rFonts w:ascii="Arial" w:hAnsi="Arial" w:cs="Arial"/>
                <w:sz w:val="24"/>
                <w:szCs w:val="24"/>
              </w:rPr>
              <w:t>Temiskaming Shores</w:t>
            </w:r>
            <w:r w:rsidR="000B34B1">
              <w:rPr>
                <w:rFonts w:ascii="Arial" w:hAnsi="Arial" w:cs="Arial"/>
                <w:sz w:val="24"/>
                <w:szCs w:val="24"/>
              </w:rPr>
              <w:t xml:space="preserve"> PL</w:t>
            </w:r>
          </w:p>
        </w:tc>
        <w:tc>
          <w:tcPr>
            <w:tcW w:w="1509"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392,262</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400</w:t>
            </w:r>
            <w:r w:rsidR="00550402">
              <w:rPr>
                <w:rFonts w:ascii="Arial" w:hAnsi="Arial" w:cs="Arial"/>
                <w:sz w:val="24"/>
                <w:szCs w:val="24"/>
              </w:rPr>
              <w:t>.00</w:t>
            </w:r>
          </w:p>
        </w:tc>
        <w:tc>
          <w:tcPr>
            <w:tcW w:w="1848"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858</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436</w:t>
            </w:r>
          </w:p>
        </w:tc>
        <w:tc>
          <w:tcPr>
            <w:tcW w:w="1574"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4,680,190</w:t>
            </w:r>
          </w:p>
        </w:tc>
        <w:tc>
          <w:tcPr>
            <w:tcW w:w="1511" w:type="dxa"/>
          </w:tcPr>
          <w:p w:rsidR="00F637E6" w:rsidRDefault="00596D51">
            <w:pPr>
              <w:rPr>
                <w:rFonts w:ascii="Arial" w:hAnsi="Arial" w:cs="Arial"/>
                <w:sz w:val="24"/>
                <w:szCs w:val="24"/>
              </w:rPr>
            </w:pPr>
            <w:r>
              <w:rPr>
                <w:rFonts w:ascii="Arial" w:hAnsi="Arial" w:cs="Arial"/>
                <w:sz w:val="24"/>
                <w:szCs w:val="24"/>
              </w:rPr>
              <w:t>$</w:t>
            </w:r>
            <w:r w:rsidR="009D066A">
              <w:rPr>
                <w:rFonts w:ascii="Arial" w:hAnsi="Arial" w:cs="Arial"/>
                <w:sz w:val="24"/>
                <w:szCs w:val="24"/>
              </w:rPr>
              <w:t>11.93</w:t>
            </w:r>
          </w:p>
        </w:tc>
        <w:tc>
          <w:tcPr>
            <w:tcW w:w="1511" w:type="dxa"/>
          </w:tcPr>
          <w:p w:rsidR="00F637E6" w:rsidRDefault="00550402" w:rsidP="00550402">
            <w:pPr>
              <w:rPr>
                <w:rFonts w:ascii="Arial" w:hAnsi="Arial" w:cs="Arial"/>
                <w:sz w:val="24"/>
                <w:szCs w:val="24"/>
              </w:rPr>
            </w:pPr>
            <w:r>
              <w:rPr>
                <w:rFonts w:ascii="Arial" w:hAnsi="Arial" w:cs="Arial"/>
                <w:sz w:val="24"/>
                <w:szCs w:val="24"/>
              </w:rPr>
              <w:t>2</w:t>
            </w:r>
            <w:r w:rsidR="009D066A">
              <w:rPr>
                <w:rFonts w:ascii="Arial" w:hAnsi="Arial" w:cs="Arial"/>
                <w:sz w:val="24"/>
                <w:szCs w:val="24"/>
              </w:rPr>
              <w:t>,</w:t>
            </w:r>
            <w:r>
              <w:rPr>
                <w:rFonts w:ascii="Arial" w:hAnsi="Arial" w:cs="Arial"/>
                <w:sz w:val="24"/>
                <w:szCs w:val="24"/>
              </w:rPr>
              <w:t>867</w:t>
            </w:r>
            <w:r w:rsidR="009D066A">
              <w:rPr>
                <w:rFonts w:ascii="Arial" w:hAnsi="Arial" w:cs="Arial"/>
                <w:sz w:val="24"/>
                <w:szCs w:val="24"/>
              </w:rPr>
              <w:t>%</w:t>
            </w:r>
          </w:p>
        </w:tc>
      </w:tr>
      <w:tr w:rsidR="00596D51" w:rsidTr="00596D51">
        <w:trPr>
          <w:trHeight w:val="750"/>
        </w:trPr>
        <w:tc>
          <w:tcPr>
            <w:tcW w:w="2193" w:type="dxa"/>
          </w:tcPr>
          <w:p w:rsidR="00F637E6" w:rsidRDefault="00F637E6" w:rsidP="00F637E6">
            <w:pPr>
              <w:rPr>
                <w:rFonts w:ascii="Arial" w:hAnsi="Arial" w:cs="Arial"/>
                <w:sz w:val="24"/>
                <w:szCs w:val="24"/>
              </w:rPr>
            </w:pPr>
            <w:r>
              <w:rPr>
                <w:rFonts w:ascii="Arial" w:hAnsi="Arial" w:cs="Arial"/>
                <w:sz w:val="24"/>
                <w:szCs w:val="24"/>
              </w:rPr>
              <w:t>Wikwemikong FN</w:t>
            </w:r>
            <w:r w:rsidR="000B34B1">
              <w:rPr>
                <w:rFonts w:ascii="Arial" w:hAnsi="Arial" w:cs="Arial"/>
                <w:sz w:val="24"/>
                <w:szCs w:val="24"/>
              </w:rPr>
              <w:t xml:space="preserve"> PL</w:t>
            </w:r>
          </w:p>
        </w:tc>
        <w:tc>
          <w:tcPr>
            <w:tcW w:w="1509" w:type="dxa"/>
          </w:tcPr>
          <w:p w:rsidR="00F637E6" w:rsidRDefault="007B2F9A">
            <w:pPr>
              <w:rPr>
                <w:rFonts w:ascii="Arial" w:hAnsi="Arial" w:cs="Arial"/>
                <w:sz w:val="24"/>
                <w:szCs w:val="24"/>
              </w:rPr>
            </w:pPr>
            <w:r>
              <w:rPr>
                <w:rFonts w:ascii="Arial" w:hAnsi="Arial" w:cs="Arial"/>
                <w:sz w:val="24"/>
                <w:szCs w:val="24"/>
              </w:rPr>
              <w:t>$15,000</w:t>
            </w:r>
          </w:p>
        </w:tc>
        <w:tc>
          <w:tcPr>
            <w:tcW w:w="1511" w:type="dxa"/>
          </w:tcPr>
          <w:p w:rsidR="00F637E6" w:rsidRDefault="00596D51">
            <w:pPr>
              <w:rPr>
                <w:rFonts w:ascii="Arial" w:hAnsi="Arial" w:cs="Arial"/>
                <w:sz w:val="24"/>
                <w:szCs w:val="24"/>
              </w:rPr>
            </w:pPr>
            <w:r>
              <w:rPr>
                <w:rFonts w:ascii="Arial" w:hAnsi="Arial" w:cs="Arial"/>
                <w:sz w:val="24"/>
                <w:szCs w:val="24"/>
              </w:rPr>
              <w:t>$259.45</w:t>
            </w:r>
          </w:p>
        </w:tc>
        <w:tc>
          <w:tcPr>
            <w:tcW w:w="1848" w:type="dxa"/>
          </w:tcPr>
          <w:p w:rsidR="00F637E6" w:rsidRDefault="00596D51">
            <w:pPr>
              <w:rPr>
                <w:rFonts w:ascii="Arial" w:hAnsi="Arial" w:cs="Arial"/>
                <w:sz w:val="24"/>
                <w:szCs w:val="24"/>
              </w:rPr>
            </w:pPr>
            <w:r>
              <w:rPr>
                <w:rFonts w:ascii="Arial" w:hAnsi="Arial" w:cs="Arial"/>
                <w:sz w:val="24"/>
                <w:szCs w:val="24"/>
              </w:rPr>
              <w:t>$714.08</w:t>
            </w:r>
          </w:p>
        </w:tc>
        <w:tc>
          <w:tcPr>
            <w:tcW w:w="1511" w:type="dxa"/>
          </w:tcPr>
          <w:p w:rsidR="00F637E6" w:rsidRDefault="00596D51">
            <w:pPr>
              <w:rPr>
                <w:rFonts w:ascii="Arial" w:hAnsi="Arial" w:cs="Arial"/>
                <w:sz w:val="24"/>
                <w:szCs w:val="24"/>
              </w:rPr>
            </w:pPr>
            <w:r>
              <w:rPr>
                <w:rFonts w:ascii="Arial" w:hAnsi="Arial" w:cs="Arial"/>
                <w:sz w:val="24"/>
                <w:szCs w:val="24"/>
              </w:rPr>
              <w:t>$80.05</w:t>
            </w:r>
          </w:p>
        </w:tc>
        <w:tc>
          <w:tcPr>
            <w:tcW w:w="1574" w:type="dxa"/>
          </w:tcPr>
          <w:p w:rsidR="00F637E6" w:rsidRDefault="00596D51">
            <w:pPr>
              <w:rPr>
                <w:rFonts w:ascii="Arial" w:hAnsi="Arial" w:cs="Arial"/>
                <w:sz w:val="24"/>
                <w:szCs w:val="24"/>
              </w:rPr>
            </w:pPr>
            <w:r>
              <w:rPr>
                <w:rFonts w:ascii="Arial" w:hAnsi="Arial" w:cs="Arial"/>
                <w:sz w:val="24"/>
                <w:szCs w:val="24"/>
              </w:rPr>
              <w:t>$844,753</w:t>
            </w:r>
          </w:p>
        </w:tc>
        <w:tc>
          <w:tcPr>
            <w:tcW w:w="1511" w:type="dxa"/>
          </w:tcPr>
          <w:p w:rsidR="00596D51" w:rsidRDefault="00596D51">
            <w:pPr>
              <w:rPr>
                <w:rFonts w:ascii="Arial" w:hAnsi="Arial" w:cs="Arial"/>
                <w:sz w:val="24"/>
                <w:szCs w:val="24"/>
              </w:rPr>
            </w:pPr>
            <w:r>
              <w:rPr>
                <w:rFonts w:ascii="Arial" w:hAnsi="Arial" w:cs="Arial"/>
                <w:sz w:val="24"/>
                <w:szCs w:val="24"/>
              </w:rPr>
              <w:t>$56.32</w:t>
            </w:r>
          </w:p>
        </w:tc>
        <w:tc>
          <w:tcPr>
            <w:tcW w:w="1511" w:type="dxa"/>
          </w:tcPr>
          <w:p w:rsidR="00F637E6" w:rsidRDefault="00596D51">
            <w:pPr>
              <w:rPr>
                <w:rFonts w:ascii="Arial" w:hAnsi="Arial" w:cs="Arial"/>
                <w:sz w:val="24"/>
                <w:szCs w:val="24"/>
              </w:rPr>
            </w:pPr>
            <w:r>
              <w:rPr>
                <w:rFonts w:ascii="Arial" w:hAnsi="Arial" w:cs="Arial"/>
                <w:sz w:val="24"/>
                <w:szCs w:val="24"/>
              </w:rPr>
              <w:t>5,632%</w:t>
            </w:r>
          </w:p>
        </w:tc>
      </w:tr>
      <w:tr w:rsidR="00550402" w:rsidTr="00596D51">
        <w:trPr>
          <w:trHeight w:val="750"/>
        </w:trPr>
        <w:tc>
          <w:tcPr>
            <w:tcW w:w="2193" w:type="dxa"/>
          </w:tcPr>
          <w:p w:rsidR="00550402" w:rsidRDefault="00550402" w:rsidP="00F637E6">
            <w:pPr>
              <w:rPr>
                <w:rFonts w:ascii="Arial" w:hAnsi="Arial" w:cs="Arial"/>
                <w:sz w:val="24"/>
                <w:szCs w:val="24"/>
              </w:rPr>
            </w:pPr>
            <w:r>
              <w:rPr>
                <w:rFonts w:ascii="Arial" w:hAnsi="Arial" w:cs="Arial"/>
                <w:sz w:val="24"/>
                <w:szCs w:val="24"/>
              </w:rPr>
              <w:t>Fort Frances PL</w:t>
            </w:r>
          </w:p>
        </w:tc>
        <w:tc>
          <w:tcPr>
            <w:tcW w:w="1509" w:type="dxa"/>
          </w:tcPr>
          <w:p w:rsidR="00550402" w:rsidRDefault="00C17890">
            <w:pPr>
              <w:rPr>
                <w:rFonts w:ascii="Arial" w:hAnsi="Arial" w:cs="Arial"/>
                <w:sz w:val="24"/>
                <w:szCs w:val="24"/>
              </w:rPr>
            </w:pPr>
            <w:r>
              <w:rPr>
                <w:rFonts w:ascii="Arial" w:hAnsi="Arial" w:cs="Arial"/>
                <w:sz w:val="24"/>
                <w:szCs w:val="24"/>
              </w:rPr>
              <w:t>$4384,216</w:t>
            </w:r>
          </w:p>
        </w:tc>
        <w:tc>
          <w:tcPr>
            <w:tcW w:w="1511" w:type="dxa"/>
          </w:tcPr>
          <w:p w:rsidR="00550402" w:rsidRDefault="00550402">
            <w:pPr>
              <w:rPr>
                <w:rFonts w:ascii="Arial" w:hAnsi="Arial" w:cs="Arial"/>
                <w:sz w:val="24"/>
                <w:szCs w:val="24"/>
              </w:rPr>
            </w:pPr>
            <w:r>
              <w:rPr>
                <w:rFonts w:ascii="Arial" w:hAnsi="Arial" w:cs="Arial"/>
                <w:sz w:val="24"/>
                <w:szCs w:val="24"/>
              </w:rPr>
              <w:t>$969.00</w:t>
            </w:r>
          </w:p>
        </w:tc>
        <w:tc>
          <w:tcPr>
            <w:tcW w:w="1848" w:type="dxa"/>
          </w:tcPr>
          <w:p w:rsidR="00550402" w:rsidRDefault="00550402">
            <w:pPr>
              <w:rPr>
                <w:rFonts w:ascii="Arial" w:hAnsi="Arial" w:cs="Arial"/>
                <w:sz w:val="24"/>
                <w:szCs w:val="24"/>
              </w:rPr>
            </w:pPr>
            <w:r>
              <w:rPr>
                <w:rFonts w:ascii="Arial" w:hAnsi="Arial" w:cs="Arial"/>
                <w:sz w:val="24"/>
                <w:szCs w:val="24"/>
              </w:rPr>
              <w:t>$2,269.00</w:t>
            </w:r>
          </w:p>
        </w:tc>
        <w:tc>
          <w:tcPr>
            <w:tcW w:w="1511" w:type="dxa"/>
          </w:tcPr>
          <w:p w:rsidR="00550402" w:rsidRDefault="00550402">
            <w:pPr>
              <w:rPr>
                <w:rFonts w:ascii="Arial" w:hAnsi="Arial" w:cs="Arial"/>
                <w:sz w:val="24"/>
                <w:szCs w:val="24"/>
              </w:rPr>
            </w:pPr>
            <w:r>
              <w:rPr>
                <w:rFonts w:ascii="Arial" w:hAnsi="Arial" w:cs="Arial"/>
                <w:sz w:val="24"/>
                <w:szCs w:val="24"/>
              </w:rPr>
              <w:t>$1,303</w:t>
            </w:r>
          </w:p>
        </w:tc>
        <w:tc>
          <w:tcPr>
            <w:tcW w:w="1574" w:type="dxa"/>
          </w:tcPr>
          <w:p w:rsidR="00550402" w:rsidRDefault="00550402">
            <w:pPr>
              <w:rPr>
                <w:rFonts w:ascii="Arial" w:hAnsi="Arial" w:cs="Arial"/>
                <w:sz w:val="24"/>
                <w:szCs w:val="24"/>
              </w:rPr>
            </w:pPr>
          </w:p>
        </w:tc>
        <w:tc>
          <w:tcPr>
            <w:tcW w:w="1511" w:type="dxa"/>
          </w:tcPr>
          <w:p w:rsidR="00550402" w:rsidRDefault="00550402">
            <w:pPr>
              <w:rPr>
                <w:rFonts w:ascii="Arial" w:hAnsi="Arial" w:cs="Arial"/>
                <w:sz w:val="24"/>
                <w:szCs w:val="24"/>
              </w:rPr>
            </w:pPr>
            <w:r>
              <w:rPr>
                <w:rFonts w:ascii="Arial" w:hAnsi="Arial" w:cs="Arial"/>
                <w:sz w:val="24"/>
                <w:szCs w:val="24"/>
              </w:rPr>
              <w:t>$17.16</w:t>
            </w:r>
          </w:p>
        </w:tc>
        <w:tc>
          <w:tcPr>
            <w:tcW w:w="1511" w:type="dxa"/>
          </w:tcPr>
          <w:p w:rsidR="00550402" w:rsidRDefault="00C17890">
            <w:pPr>
              <w:rPr>
                <w:rFonts w:ascii="Arial" w:hAnsi="Arial" w:cs="Arial"/>
                <w:sz w:val="24"/>
                <w:szCs w:val="24"/>
              </w:rPr>
            </w:pPr>
            <w:r>
              <w:rPr>
                <w:rFonts w:ascii="Arial" w:hAnsi="Arial" w:cs="Arial"/>
                <w:sz w:val="24"/>
                <w:szCs w:val="24"/>
              </w:rPr>
              <w:t>632%</w:t>
            </w:r>
            <w:bookmarkStart w:id="0" w:name="_GoBack"/>
            <w:bookmarkEnd w:id="0"/>
          </w:p>
        </w:tc>
      </w:tr>
      <w:tr w:rsidR="00550402" w:rsidTr="00596D51">
        <w:trPr>
          <w:trHeight w:val="750"/>
        </w:trPr>
        <w:tc>
          <w:tcPr>
            <w:tcW w:w="2193" w:type="dxa"/>
          </w:tcPr>
          <w:p w:rsidR="00550402" w:rsidRDefault="00550402" w:rsidP="00F637E6">
            <w:pPr>
              <w:rPr>
                <w:rFonts w:ascii="Arial" w:hAnsi="Arial" w:cs="Arial"/>
                <w:sz w:val="24"/>
                <w:szCs w:val="24"/>
              </w:rPr>
            </w:pPr>
          </w:p>
        </w:tc>
        <w:tc>
          <w:tcPr>
            <w:tcW w:w="1509" w:type="dxa"/>
          </w:tcPr>
          <w:p w:rsidR="00550402" w:rsidRDefault="00550402">
            <w:pPr>
              <w:rPr>
                <w:rFonts w:ascii="Arial" w:hAnsi="Arial" w:cs="Arial"/>
                <w:sz w:val="24"/>
                <w:szCs w:val="24"/>
              </w:rPr>
            </w:pPr>
          </w:p>
        </w:tc>
        <w:tc>
          <w:tcPr>
            <w:tcW w:w="1511" w:type="dxa"/>
          </w:tcPr>
          <w:p w:rsidR="00550402" w:rsidRDefault="00550402">
            <w:pPr>
              <w:rPr>
                <w:rFonts w:ascii="Arial" w:hAnsi="Arial" w:cs="Arial"/>
                <w:sz w:val="24"/>
                <w:szCs w:val="24"/>
              </w:rPr>
            </w:pPr>
          </w:p>
        </w:tc>
        <w:tc>
          <w:tcPr>
            <w:tcW w:w="1848" w:type="dxa"/>
          </w:tcPr>
          <w:p w:rsidR="00550402" w:rsidRDefault="00550402">
            <w:pPr>
              <w:rPr>
                <w:rFonts w:ascii="Arial" w:hAnsi="Arial" w:cs="Arial"/>
                <w:sz w:val="24"/>
                <w:szCs w:val="24"/>
              </w:rPr>
            </w:pPr>
          </w:p>
        </w:tc>
        <w:tc>
          <w:tcPr>
            <w:tcW w:w="1511" w:type="dxa"/>
          </w:tcPr>
          <w:p w:rsidR="00550402" w:rsidRDefault="00550402">
            <w:pPr>
              <w:rPr>
                <w:rFonts w:ascii="Arial" w:hAnsi="Arial" w:cs="Arial"/>
                <w:sz w:val="24"/>
                <w:szCs w:val="24"/>
              </w:rPr>
            </w:pPr>
          </w:p>
        </w:tc>
        <w:tc>
          <w:tcPr>
            <w:tcW w:w="1574" w:type="dxa"/>
          </w:tcPr>
          <w:p w:rsidR="00550402" w:rsidRDefault="00550402">
            <w:pPr>
              <w:rPr>
                <w:rFonts w:ascii="Arial" w:hAnsi="Arial" w:cs="Arial"/>
                <w:sz w:val="24"/>
                <w:szCs w:val="24"/>
              </w:rPr>
            </w:pPr>
          </w:p>
        </w:tc>
        <w:tc>
          <w:tcPr>
            <w:tcW w:w="1511" w:type="dxa"/>
          </w:tcPr>
          <w:p w:rsidR="00550402" w:rsidRDefault="00550402">
            <w:pPr>
              <w:rPr>
                <w:rFonts w:ascii="Arial" w:hAnsi="Arial" w:cs="Arial"/>
                <w:sz w:val="24"/>
                <w:szCs w:val="24"/>
              </w:rPr>
            </w:pPr>
          </w:p>
        </w:tc>
        <w:tc>
          <w:tcPr>
            <w:tcW w:w="1511" w:type="dxa"/>
          </w:tcPr>
          <w:p w:rsidR="00550402" w:rsidRDefault="00550402">
            <w:pPr>
              <w:rPr>
                <w:rFonts w:ascii="Arial" w:hAnsi="Arial" w:cs="Arial"/>
                <w:sz w:val="24"/>
                <w:szCs w:val="24"/>
              </w:rPr>
            </w:pPr>
          </w:p>
        </w:tc>
      </w:tr>
      <w:tr w:rsidR="00596D51" w:rsidTr="00596D51">
        <w:trPr>
          <w:trHeight w:val="375"/>
        </w:trPr>
        <w:tc>
          <w:tcPr>
            <w:tcW w:w="2193" w:type="dxa"/>
          </w:tcPr>
          <w:p w:rsidR="00F637E6" w:rsidRDefault="00F637E6">
            <w:pPr>
              <w:rPr>
                <w:rFonts w:ascii="Arial" w:hAnsi="Arial" w:cs="Arial"/>
                <w:sz w:val="24"/>
                <w:szCs w:val="24"/>
              </w:rPr>
            </w:pPr>
          </w:p>
        </w:tc>
        <w:tc>
          <w:tcPr>
            <w:tcW w:w="1509" w:type="dxa"/>
          </w:tcPr>
          <w:p w:rsidR="00F637E6" w:rsidRDefault="00F637E6">
            <w:pPr>
              <w:rPr>
                <w:rFonts w:ascii="Arial" w:hAnsi="Arial" w:cs="Arial"/>
                <w:sz w:val="24"/>
                <w:szCs w:val="24"/>
              </w:rPr>
            </w:pPr>
          </w:p>
        </w:tc>
        <w:tc>
          <w:tcPr>
            <w:tcW w:w="1511" w:type="dxa"/>
          </w:tcPr>
          <w:p w:rsidR="00F637E6" w:rsidRDefault="00F637E6">
            <w:pPr>
              <w:rPr>
                <w:rFonts w:ascii="Arial" w:hAnsi="Arial" w:cs="Arial"/>
                <w:sz w:val="24"/>
                <w:szCs w:val="24"/>
              </w:rPr>
            </w:pPr>
          </w:p>
        </w:tc>
        <w:tc>
          <w:tcPr>
            <w:tcW w:w="1848" w:type="dxa"/>
          </w:tcPr>
          <w:p w:rsidR="00F637E6" w:rsidRDefault="00F637E6">
            <w:pPr>
              <w:rPr>
                <w:rFonts w:ascii="Arial" w:hAnsi="Arial" w:cs="Arial"/>
                <w:sz w:val="24"/>
                <w:szCs w:val="24"/>
              </w:rPr>
            </w:pPr>
          </w:p>
        </w:tc>
        <w:tc>
          <w:tcPr>
            <w:tcW w:w="1511" w:type="dxa"/>
          </w:tcPr>
          <w:p w:rsidR="00F637E6" w:rsidRDefault="00F637E6">
            <w:pPr>
              <w:rPr>
                <w:rFonts w:ascii="Arial" w:hAnsi="Arial" w:cs="Arial"/>
                <w:sz w:val="24"/>
                <w:szCs w:val="24"/>
              </w:rPr>
            </w:pPr>
          </w:p>
        </w:tc>
        <w:tc>
          <w:tcPr>
            <w:tcW w:w="1574" w:type="dxa"/>
          </w:tcPr>
          <w:p w:rsidR="00F637E6" w:rsidRDefault="00F637E6">
            <w:pPr>
              <w:rPr>
                <w:rFonts w:ascii="Arial" w:hAnsi="Arial" w:cs="Arial"/>
                <w:sz w:val="24"/>
                <w:szCs w:val="24"/>
              </w:rPr>
            </w:pPr>
          </w:p>
        </w:tc>
        <w:tc>
          <w:tcPr>
            <w:tcW w:w="1511" w:type="dxa"/>
          </w:tcPr>
          <w:p w:rsidR="00F637E6" w:rsidRDefault="00F637E6">
            <w:pPr>
              <w:rPr>
                <w:rFonts w:ascii="Arial" w:hAnsi="Arial" w:cs="Arial"/>
                <w:sz w:val="24"/>
                <w:szCs w:val="24"/>
              </w:rPr>
            </w:pPr>
          </w:p>
        </w:tc>
        <w:tc>
          <w:tcPr>
            <w:tcW w:w="1511" w:type="dxa"/>
          </w:tcPr>
          <w:p w:rsidR="00F637E6" w:rsidRDefault="00F637E6">
            <w:pPr>
              <w:rPr>
                <w:rFonts w:ascii="Arial" w:hAnsi="Arial" w:cs="Arial"/>
                <w:sz w:val="24"/>
                <w:szCs w:val="24"/>
              </w:rPr>
            </w:pPr>
          </w:p>
        </w:tc>
      </w:tr>
    </w:tbl>
    <w:p w:rsidR="00F637E6" w:rsidRPr="00581ECE" w:rsidRDefault="00F637E6">
      <w:pPr>
        <w:rPr>
          <w:rFonts w:ascii="Arial" w:hAnsi="Arial" w:cs="Arial"/>
          <w:sz w:val="24"/>
          <w:szCs w:val="24"/>
        </w:rPr>
      </w:pPr>
    </w:p>
    <w:p w:rsidR="00FC133B" w:rsidRDefault="00FC133B">
      <w:pPr>
        <w:rPr>
          <w:rFonts w:ascii="Arial" w:hAnsi="Arial" w:cs="Arial"/>
          <w:sz w:val="24"/>
          <w:szCs w:val="24"/>
        </w:rPr>
      </w:pPr>
      <w:r>
        <w:rPr>
          <w:rFonts w:ascii="Arial" w:hAnsi="Arial" w:cs="Arial"/>
          <w:sz w:val="24"/>
          <w:szCs w:val="24"/>
        </w:rPr>
        <w:br w:type="page"/>
      </w:r>
    </w:p>
    <w:p w:rsidR="00E64395" w:rsidRPr="00FC133B" w:rsidRDefault="00FC133B">
      <w:pPr>
        <w:rPr>
          <w:rFonts w:ascii="Arial" w:hAnsi="Arial" w:cs="Arial"/>
          <w:b/>
          <w:color w:val="000000" w:themeColor="text1"/>
          <w:sz w:val="32"/>
          <w:szCs w:val="24"/>
        </w:rPr>
      </w:pPr>
      <w:r w:rsidRPr="00FC133B">
        <w:rPr>
          <w:rFonts w:ascii="Arial" w:hAnsi="Arial" w:cs="Arial"/>
          <w:b/>
          <w:color w:val="000000" w:themeColor="text1"/>
          <w:sz w:val="32"/>
          <w:szCs w:val="24"/>
        </w:rPr>
        <w:lastRenderedPageBreak/>
        <w:t>Measuring the Impact of Digital Services in Ontario’s Public Libraries</w:t>
      </w:r>
    </w:p>
    <w:p w:rsidR="00FC133B" w:rsidRPr="00FC133B" w:rsidRDefault="00FC133B" w:rsidP="00FC133B">
      <w:pPr>
        <w:spacing w:after="0" w:line="240" w:lineRule="atLeast"/>
        <w:textAlignment w:val="baseline"/>
        <w:outlineLvl w:val="0"/>
        <w:rPr>
          <w:rFonts w:ascii="Arial" w:eastAsia="Times New Roman" w:hAnsi="Arial" w:cs="Arial"/>
          <w:color w:val="000000" w:themeColor="text1"/>
          <w:kern w:val="36"/>
          <w:sz w:val="24"/>
          <w:szCs w:val="24"/>
          <w:lang w:eastAsia="en-CA"/>
        </w:rPr>
      </w:pPr>
      <w:r w:rsidRPr="00FC133B">
        <w:rPr>
          <w:rFonts w:ascii="Arial" w:eastAsia="Times New Roman" w:hAnsi="Arial" w:cs="Arial"/>
          <w:color w:val="000000" w:themeColor="text1"/>
          <w:kern w:val="36"/>
          <w:sz w:val="24"/>
          <w:szCs w:val="24"/>
          <w:lang w:eastAsia="en-CA"/>
        </w:rPr>
        <w:t>The BRIDGE Toolkit for assessing technology impact in Ontario Public Libraries!</w:t>
      </w: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For the past two years, Toronto Public Library has been leading a team of all sizes of libraries – including First Nation Public Libraries.</w:t>
      </w:r>
      <w:r>
        <w:rPr>
          <w:rFonts w:ascii="Arial" w:eastAsia="Times New Roman" w:hAnsi="Arial" w:cs="Arial"/>
          <w:color w:val="000000" w:themeColor="text1"/>
          <w:sz w:val="24"/>
          <w:szCs w:val="24"/>
          <w:lang w:eastAsia="en-CA"/>
        </w:rPr>
        <w:t xml:space="preserve">  These include I</w:t>
      </w:r>
      <w:r w:rsidRPr="00FC133B">
        <w:rPr>
          <w:rFonts w:ascii="Arial" w:eastAsia="Times New Roman" w:hAnsi="Arial" w:cs="Arial"/>
          <w:color w:val="000000" w:themeColor="text1"/>
          <w:sz w:val="24"/>
          <w:szCs w:val="24"/>
          <w:lang w:eastAsia="en-CA"/>
        </w:rPr>
        <w:t>nnisfil public library</w:t>
      </w:r>
      <w:r>
        <w:rPr>
          <w:rFonts w:ascii="Arial" w:eastAsia="Times New Roman" w:hAnsi="Arial" w:cs="Arial"/>
          <w:color w:val="000000" w:themeColor="text1"/>
          <w:sz w:val="24"/>
          <w:szCs w:val="24"/>
          <w:lang w:eastAsia="en-CA"/>
        </w:rPr>
        <w:t>, K</w:t>
      </w:r>
      <w:r w:rsidRPr="00FC133B">
        <w:rPr>
          <w:rFonts w:ascii="Arial" w:eastAsia="Times New Roman" w:hAnsi="Arial" w:cs="Arial"/>
          <w:color w:val="000000" w:themeColor="text1"/>
          <w:sz w:val="24"/>
          <w:szCs w:val="24"/>
          <w:lang w:eastAsia="en-CA"/>
        </w:rPr>
        <w:t>itchener public library</w:t>
      </w:r>
      <w:r>
        <w:rPr>
          <w:rFonts w:ascii="Arial" w:eastAsia="Times New Roman" w:hAnsi="Arial" w:cs="Arial"/>
          <w:color w:val="000000" w:themeColor="text1"/>
          <w:sz w:val="24"/>
          <w:szCs w:val="24"/>
          <w:lang w:eastAsia="en-CA"/>
        </w:rPr>
        <w:t>, M</w:t>
      </w:r>
      <w:r w:rsidRPr="00FC133B">
        <w:rPr>
          <w:rFonts w:ascii="Arial" w:eastAsia="Times New Roman" w:hAnsi="Arial" w:cs="Arial"/>
          <w:color w:val="000000" w:themeColor="text1"/>
          <w:sz w:val="24"/>
          <w:szCs w:val="24"/>
          <w:lang w:eastAsia="en-CA"/>
        </w:rPr>
        <w:t>attawa public library</w:t>
      </w:r>
      <w:r>
        <w:rPr>
          <w:rFonts w:ascii="Arial" w:eastAsia="Times New Roman" w:hAnsi="Arial" w:cs="Arial"/>
          <w:color w:val="000000" w:themeColor="text1"/>
          <w:sz w:val="24"/>
          <w:szCs w:val="24"/>
          <w:lang w:eastAsia="en-CA"/>
        </w:rPr>
        <w:t>, N</w:t>
      </w:r>
      <w:r w:rsidRPr="00FC133B">
        <w:rPr>
          <w:rFonts w:ascii="Arial" w:eastAsia="Times New Roman" w:hAnsi="Arial" w:cs="Arial"/>
          <w:color w:val="000000" w:themeColor="text1"/>
          <w:sz w:val="24"/>
          <w:szCs w:val="24"/>
          <w:lang w:eastAsia="en-CA"/>
        </w:rPr>
        <w:t>aotkamegwanning first nations public library</w:t>
      </w:r>
      <w:r>
        <w:rPr>
          <w:rFonts w:ascii="Arial" w:eastAsia="Times New Roman" w:hAnsi="Arial" w:cs="Arial"/>
          <w:color w:val="000000" w:themeColor="text1"/>
          <w:sz w:val="24"/>
          <w:szCs w:val="24"/>
          <w:lang w:eastAsia="en-CA"/>
        </w:rPr>
        <w:t>, P</w:t>
      </w:r>
      <w:r w:rsidRPr="00FC133B">
        <w:rPr>
          <w:rFonts w:ascii="Arial" w:eastAsia="Times New Roman" w:hAnsi="Arial" w:cs="Arial"/>
          <w:color w:val="000000" w:themeColor="text1"/>
          <w:sz w:val="24"/>
          <w:szCs w:val="24"/>
          <w:lang w:eastAsia="en-CA"/>
        </w:rPr>
        <w:t xml:space="preserve">erth &amp; </w:t>
      </w:r>
      <w:r>
        <w:rPr>
          <w:rFonts w:ascii="Arial" w:eastAsia="Times New Roman" w:hAnsi="Arial" w:cs="Arial"/>
          <w:color w:val="000000" w:themeColor="text1"/>
          <w:sz w:val="24"/>
          <w:szCs w:val="24"/>
          <w:lang w:eastAsia="en-CA"/>
        </w:rPr>
        <w:t>District U</w:t>
      </w:r>
      <w:r w:rsidRPr="00FC133B">
        <w:rPr>
          <w:rFonts w:ascii="Arial" w:eastAsia="Times New Roman" w:hAnsi="Arial" w:cs="Arial"/>
          <w:color w:val="000000" w:themeColor="text1"/>
          <w:sz w:val="24"/>
          <w:szCs w:val="24"/>
          <w:lang w:eastAsia="en-CA"/>
        </w:rPr>
        <w:t>nion public library</w:t>
      </w:r>
      <w:r>
        <w:rPr>
          <w:rFonts w:ascii="Arial" w:eastAsia="Times New Roman" w:hAnsi="Arial" w:cs="Arial"/>
          <w:color w:val="000000" w:themeColor="text1"/>
          <w:sz w:val="24"/>
          <w:szCs w:val="24"/>
          <w:lang w:eastAsia="en-CA"/>
        </w:rPr>
        <w:t>, T</w:t>
      </w:r>
      <w:r w:rsidRPr="00FC133B">
        <w:rPr>
          <w:rFonts w:ascii="Arial" w:eastAsia="Times New Roman" w:hAnsi="Arial" w:cs="Arial"/>
          <w:color w:val="000000" w:themeColor="text1"/>
          <w:sz w:val="24"/>
          <w:szCs w:val="24"/>
          <w:lang w:eastAsia="en-CA"/>
        </w:rPr>
        <w:t>oronto public library</w:t>
      </w:r>
      <w:r>
        <w:rPr>
          <w:rFonts w:ascii="Arial" w:eastAsia="Times New Roman" w:hAnsi="Arial" w:cs="Arial"/>
          <w:color w:val="000000" w:themeColor="text1"/>
          <w:sz w:val="24"/>
          <w:szCs w:val="24"/>
          <w:lang w:eastAsia="en-CA"/>
        </w:rPr>
        <w:t>, W</w:t>
      </w:r>
      <w:r w:rsidRPr="00FC133B">
        <w:rPr>
          <w:rFonts w:ascii="Arial" w:eastAsia="Times New Roman" w:hAnsi="Arial" w:cs="Arial"/>
          <w:color w:val="000000" w:themeColor="text1"/>
          <w:sz w:val="24"/>
          <w:szCs w:val="24"/>
          <w:lang w:eastAsia="en-CA"/>
        </w:rPr>
        <w:t>ikwemikong first nation library</w:t>
      </w:r>
      <w:r>
        <w:rPr>
          <w:rFonts w:ascii="Arial" w:eastAsia="Times New Roman" w:hAnsi="Arial" w:cs="Arial"/>
          <w:color w:val="000000" w:themeColor="text1"/>
          <w:sz w:val="24"/>
          <w:szCs w:val="24"/>
          <w:lang w:eastAsia="en-CA"/>
        </w:rPr>
        <w:t>, and W</w:t>
      </w:r>
      <w:r w:rsidRPr="00FC133B">
        <w:rPr>
          <w:rFonts w:ascii="Arial" w:eastAsia="Times New Roman" w:hAnsi="Arial" w:cs="Arial"/>
          <w:color w:val="000000" w:themeColor="text1"/>
          <w:sz w:val="24"/>
          <w:szCs w:val="24"/>
          <w:lang w:eastAsia="en-CA"/>
        </w:rPr>
        <w:t>indsor public library</w:t>
      </w:r>
      <w:r>
        <w:rPr>
          <w:rFonts w:ascii="Arial" w:eastAsia="Times New Roman" w:hAnsi="Arial" w:cs="Arial"/>
          <w:color w:val="000000" w:themeColor="text1"/>
          <w:sz w:val="24"/>
          <w:szCs w:val="24"/>
          <w:lang w:eastAsia="en-CA"/>
        </w:rPr>
        <w:t>.</w:t>
      </w: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 xml:space="preserve">They received a $200,000 </w:t>
      </w:r>
      <w:r>
        <w:rPr>
          <w:rFonts w:ascii="Arial" w:eastAsia="Times New Roman" w:hAnsi="Arial" w:cs="Arial"/>
          <w:color w:val="000000" w:themeColor="text1"/>
          <w:sz w:val="24"/>
          <w:szCs w:val="24"/>
          <w:lang w:eastAsia="en-CA"/>
        </w:rPr>
        <w:t xml:space="preserve">Ministry of Tourism, Culture &amp; Sport </w:t>
      </w:r>
      <w:r w:rsidRPr="00FC133B">
        <w:rPr>
          <w:rFonts w:ascii="Arial" w:eastAsia="Times New Roman" w:hAnsi="Arial" w:cs="Arial"/>
          <w:color w:val="000000" w:themeColor="text1"/>
          <w:sz w:val="24"/>
          <w:szCs w:val="24"/>
          <w:lang w:eastAsia="en-CA"/>
        </w:rPr>
        <w:t xml:space="preserve">(OLCF) Ontario Library Capacity grant </w:t>
      </w:r>
      <w:r>
        <w:rPr>
          <w:rFonts w:ascii="Arial" w:eastAsia="Times New Roman" w:hAnsi="Arial" w:cs="Arial"/>
          <w:color w:val="000000" w:themeColor="text1"/>
          <w:sz w:val="24"/>
          <w:szCs w:val="24"/>
          <w:lang w:eastAsia="en-CA"/>
        </w:rPr>
        <w:t>for the</w:t>
      </w:r>
      <w:r w:rsidRPr="00FC133B">
        <w:rPr>
          <w:rFonts w:ascii="Arial" w:eastAsia="Times New Roman" w:hAnsi="Arial" w:cs="Arial"/>
          <w:color w:val="000000" w:themeColor="text1"/>
          <w:sz w:val="24"/>
          <w:szCs w:val="24"/>
          <w:lang w:eastAsia="en-CA"/>
        </w:rPr>
        <w:t xml:space="preserve"> study. Funding for this project has been provided by the Government of Ontario. These partner libraries generously provided input during the research and design phases of the project, and the pilot implementation of the Technology Assessment Toolkit in their communities.</w:t>
      </w: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To support Ontario public libraries’ ability to deliver technology services more efficiently and with greater impact, Toronto Public Library engaged Nordicity to conduct a study on technology access in public libraries and its outcomes for Ontario Communities. As part of the study, Nordicity developed a Technology Services Assessment Toolkit for libraries to capture and analyze performance and outcome data on library systems’ technology services.</w:t>
      </w: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The toolkit has the ability to effectively support data-driven and evidence-based decisions around technology services and it enables libraries to understand and remain responsive to the specific needs of the populations it serves.</w:t>
      </w: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lastRenderedPageBreak/>
        <w:t>Additionally, the toolkit has the potential to position the public library sector as a leader in outcome-based analysis, serving as a leading example of advanced outcome measurement for peers in other jurisdictions, as well as across the culture sector and beyond.</w:t>
      </w: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The Technology Services Assessment Toolkit aims to enable public library systems across Ontario to:</w:t>
      </w:r>
    </w:p>
    <w:p w:rsidR="00FC133B" w:rsidRPr="00FC133B" w:rsidRDefault="00FC133B" w:rsidP="00FC133B">
      <w:pPr>
        <w:pStyle w:val="ListParagraph"/>
        <w:numPr>
          <w:ilvl w:val="0"/>
          <w:numId w:val="12"/>
        </w:numPr>
        <w:spacing w:after="0" w:line="390"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Measure the outputs (i.e., availability and usage) and outcomes of their technology services;</w:t>
      </w:r>
    </w:p>
    <w:p w:rsidR="00FC133B" w:rsidRPr="00FC133B" w:rsidRDefault="00FC133B" w:rsidP="00FC133B">
      <w:pPr>
        <w:pStyle w:val="ListParagraph"/>
        <w:numPr>
          <w:ilvl w:val="0"/>
          <w:numId w:val="12"/>
        </w:numPr>
        <w:spacing w:after="0" w:line="390"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Identify priorities for technology services based on evidence;</w:t>
      </w:r>
    </w:p>
    <w:p w:rsidR="00FC133B" w:rsidRPr="00FC133B" w:rsidRDefault="00FC133B" w:rsidP="00FC133B">
      <w:pPr>
        <w:pStyle w:val="ListParagraph"/>
        <w:numPr>
          <w:ilvl w:val="0"/>
          <w:numId w:val="12"/>
        </w:numPr>
        <w:spacing w:after="0" w:line="390"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Benchmark their technology service levels with other public libraries in Ontario; and,</w:t>
      </w:r>
    </w:p>
    <w:p w:rsidR="00FC133B" w:rsidRPr="00FC133B" w:rsidRDefault="00FC133B" w:rsidP="00FC133B">
      <w:pPr>
        <w:pStyle w:val="ListParagraph"/>
        <w:numPr>
          <w:ilvl w:val="0"/>
          <w:numId w:val="12"/>
        </w:numPr>
        <w:spacing w:after="0" w:line="390"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Understand how prepared frontline staff are to support technology services</w:t>
      </w:r>
      <w:r>
        <w:rPr>
          <w:rFonts w:ascii="Arial" w:eastAsia="Times New Roman" w:hAnsi="Arial" w:cs="Arial"/>
          <w:color w:val="000000" w:themeColor="text1"/>
          <w:sz w:val="24"/>
          <w:szCs w:val="24"/>
          <w:lang w:eastAsia="en-CA"/>
        </w:rPr>
        <w:t>.</w:t>
      </w: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One of the primary objectives of the research and consultation conducted in the first phase of the project was to determine outcomes that would reflect the range of technology services offered by public libraries across Ontario and how these services benefit Ontarians.</w:t>
      </w:r>
    </w:p>
    <w:p w:rsidR="00FC133B" w:rsidRP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sidRPr="00FC133B">
        <w:rPr>
          <w:rFonts w:ascii="Arial" w:eastAsia="Times New Roman" w:hAnsi="Arial" w:cs="Arial"/>
          <w:color w:val="000000" w:themeColor="text1"/>
          <w:sz w:val="24"/>
          <w:szCs w:val="24"/>
          <w:lang w:eastAsia="en-CA"/>
        </w:rPr>
        <w:t>The framework developed is two-tiered. It suggests that digital inclusion and digital literacy are the primary outcomes of the technology services offered by public libraries. These outcomes in turn, enable a range of secondary outcomes. Together, these two primary and four secondary outcomes create a framework to measure and benchmark how technology access in public libraries improves the lives of residence across Ontario while advancing the broader impact of government strategies and programs.</w:t>
      </w: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p>
    <w:p w:rsidR="00FC133B" w:rsidRDefault="00FC133B" w:rsidP="00FC133B">
      <w:pPr>
        <w:spacing w:after="0" w:line="408" w:lineRule="atLeast"/>
        <w:textAlignment w:val="baseline"/>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t>The Project Report is available here:</w:t>
      </w:r>
    </w:p>
    <w:p w:rsidR="00FC133B" w:rsidRDefault="00C17890" w:rsidP="00FC133B">
      <w:pPr>
        <w:spacing w:after="0" w:line="408" w:lineRule="atLeast"/>
        <w:textAlignment w:val="baseline"/>
        <w:rPr>
          <w:rFonts w:ascii="Arial" w:eastAsia="Times New Roman" w:hAnsi="Arial" w:cs="Arial"/>
          <w:color w:val="000000" w:themeColor="text1"/>
          <w:sz w:val="24"/>
          <w:szCs w:val="24"/>
          <w:lang w:eastAsia="en-CA"/>
        </w:rPr>
      </w:pPr>
      <w:hyperlink r:id="rId19" w:history="1">
        <w:r w:rsidR="00FC133B" w:rsidRPr="00FC133B">
          <w:rPr>
            <w:rStyle w:val="Hyperlink"/>
            <w:rFonts w:ascii="Arial" w:eastAsia="Times New Roman" w:hAnsi="Arial" w:cs="Arial"/>
            <w:sz w:val="24"/>
            <w:szCs w:val="24"/>
            <w:lang w:eastAsia="en-CA"/>
          </w:rPr>
          <w:t>http://fopl.ca/news/pleased-to-share-with-you-the-results-of-a-two-year-study-to-assess-the-impact-of-technology-services-offered-in-ontario-libraries/</w:t>
        </w:r>
      </w:hyperlink>
    </w:p>
    <w:p w:rsidR="00FC133B" w:rsidRDefault="00FC133B">
      <w:pPr>
        <w:rPr>
          <w:rFonts w:ascii="Arial" w:eastAsia="Times New Roman" w:hAnsi="Arial" w:cs="Arial"/>
          <w:color w:val="000000" w:themeColor="text1"/>
          <w:sz w:val="24"/>
          <w:szCs w:val="24"/>
          <w:lang w:eastAsia="en-CA"/>
        </w:rPr>
      </w:pPr>
      <w:r>
        <w:rPr>
          <w:rFonts w:ascii="Arial" w:eastAsia="Times New Roman" w:hAnsi="Arial" w:cs="Arial"/>
          <w:color w:val="000000" w:themeColor="text1"/>
          <w:sz w:val="24"/>
          <w:szCs w:val="24"/>
          <w:lang w:eastAsia="en-CA"/>
        </w:rPr>
        <w:br w:type="page"/>
      </w:r>
    </w:p>
    <w:p w:rsidR="00FC133B" w:rsidRPr="00FC133B" w:rsidRDefault="00FC133B">
      <w:pPr>
        <w:rPr>
          <w:rFonts w:ascii="Arial" w:eastAsia="Times New Roman" w:hAnsi="Arial" w:cs="Arial"/>
          <w:b/>
          <w:bCs/>
          <w:color w:val="666666"/>
          <w:sz w:val="24"/>
          <w:szCs w:val="21"/>
          <w:bdr w:val="none" w:sz="0" w:space="0" w:color="auto" w:frame="1"/>
          <w:lang w:eastAsia="en-CA"/>
        </w:rPr>
      </w:pPr>
      <w:r w:rsidRPr="00FC133B">
        <w:rPr>
          <w:rFonts w:ascii="Arial" w:eastAsia="Times New Roman" w:hAnsi="Arial" w:cs="Arial"/>
          <w:b/>
          <w:bCs/>
          <w:color w:val="666666"/>
          <w:sz w:val="24"/>
          <w:szCs w:val="21"/>
          <w:bdr w:val="none" w:sz="0" w:space="0" w:color="auto" w:frame="1"/>
          <w:lang w:eastAsia="en-CA"/>
        </w:rPr>
        <w:lastRenderedPageBreak/>
        <w:t>Highlights of the Study in Ontario Public Libraries:</w:t>
      </w:r>
    </w:p>
    <w:p w:rsidR="00FC133B" w:rsidRPr="00FC133B" w:rsidRDefault="00FC133B" w:rsidP="00FC133B">
      <w:pPr>
        <w:shd w:val="clear" w:color="auto" w:fill="FFFFFF"/>
        <w:spacing w:after="0" w:line="408"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b/>
          <w:bCs/>
          <w:color w:val="666666"/>
          <w:sz w:val="24"/>
          <w:szCs w:val="24"/>
          <w:bdr w:val="none" w:sz="0" w:space="0" w:color="auto" w:frame="1"/>
          <w:lang w:eastAsia="en-CA"/>
        </w:rPr>
        <w:t>The ROI of Investment in 21</w:t>
      </w:r>
      <w:r w:rsidRPr="00FC133B">
        <w:rPr>
          <w:rFonts w:ascii="Arial" w:eastAsia="Times New Roman" w:hAnsi="Arial" w:cs="Arial"/>
          <w:b/>
          <w:bCs/>
          <w:color w:val="666666"/>
          <w:sz w:val="24"/>
          <w:szCs w:val="24"/>
          <w:bdr w:val="none" w:sz="0" w:space="0" w:color="auto" w:frame="1"/>
          <w:vertAlign w:val="superscript"/>
          <w:lang w:eastAsia="en-CA"/>
        </w:rPr>
        <w:t>st</w:t>
      </w:r>
      <w:r w:rsidRPr="00FC133B">
        <w:rPr>
          <w:rFonts w:ascii="Arial" w:eastAsia="Times New Roman" w:hAnsi="Arial" w:cs="Arial"/>
          <w:b/>
          <w:bCs/>
          <w:color w:val="666666"/>
          <w:sz w:val="24"/>
          <w:szCs w:val="24"/>
          <w:bdr w:val="none" w:sz="0" w:space="0" w:color="auto" w:frame="1"/>
          <w:lang w:eastAsia="en-CA"/>
        </w:rPr>
        <w:t> Century Public Library Digital Innovation Hubs</w:t>
      </w:r>
    </w:p>
    <w:p w:rsidR="00FC133B" w:rsidRPr="00FC133B" w:rsidRDefault="00FC133B" w:rsidP="00FC133B">
      <w:pPr>
        <w:shd w:val="clear" w:color="auto" w:fill="FFFFFF"/>
        <w:spacing w:after="0" w:line="408"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Digital literacy and digital inclusion are two of the social ROI measures in the 2018 study </w:t>
      </w:r>
      <w:r w:rsidRPr="00FC133B">
        <w:rPr>
          <w:rFonts w:ascii="Arial" w:eastAsia="Times New Roman" w:hAnsi="Arial" w:cs="Arial"/>
          <w:i/>
          <w:iCs/>
          <w:color w:val="666666"/>
          <w:sz w:val="24"/>
          <w:szCs w:val="24"/>
          <w:bdr w:val="none" w:sz="0" w:space="0" w:color="auto" w:frame="1"/>
          <w:lang w:eastAsia="en-CA"/>
        </w:rPr>
        <w:t>Technology Access in Public Libraries: Outcomes and Impacts for Ontario Communities</w:t>
      </w:r>
      <w:r w:rsidRPr="00FC133B">
        <w:rPr>
          <w:rFonts w:ascii="Arial" w:eastAsia="Times New Roman" w:hAnsi="Arial" w:cs="Arial"/>
          <w:color w:val="666666"/>
          <w:sz w:val="24"/>
          <w:szCs w:val="24"/>
          <w:lang w:eastAsia="en-CA"/>
        </w:rPr>
        <w:t>.  Key to come of these strategies is the movement towards cost-saving through e-government initiatives.  25% of Ontarians report not having internet access at home or work and this number increases when needed peripherals and assistance are included.  Some sample data include:</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56% of respondents reported using technology at the public library.</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68% of respondents reporting using technology at the public library were over age 55.</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63% of respondents reporting using technology at the public library identified as low income.</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44% of respondents reporting using technology at the public library were introduced to a new technology.</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52% of those introduced to a new technology were over age 55.</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92% of those introduced to a new technology continued to use it.</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84% respondents reporting using technology at the public library reported increased digital comfort with using one or more services.</w:t>
      </w:r>
    </w:p>
    <w:p w:rsidR="00FC133B" w:rsidRPr="00FC133B" w:rsidRDefault="00FC133B" w:rsidP="00FC133B">
      <w:pPr>
        <w:pStyle w:val="ListParagraph"/>
        <w:numPr>
          <w:ilvl w:val="0"/>
          <w:numId w:val="14"/>
        </w:numPr>
        <w:spacing w:after="0" w:line="390" w:lineRule="atLeast"/>
        <w:textAlignment w:val="baseline"/>
        <w:rPr>
          <w:rFonts w:ascii="Arial" w:eastAsia="Times New Roman" w:hAnsi="Arial" w:cs="Arial"/>
          <w:color w:val="666666"/>
          <w:sz w:val="24"/>
          <w:szCs w:val="24"/>
          <w:lang w:eastAsia="en-CA"/>
        </w:rPr>
      </w:pPr>
      <w:r w:rsidRPr="00FC133B">
        <w:rPr>
          <w:rFonts w:ascii="Arial" w:eastAsia="Times New Roman" w:hAnsi="Arial" w:cs="Arial"/>
          <w:color w:val="666666"/>
          <w:sz w:val="24"/>
          <w:szCs w:val="24"/>
          <w:lang w:eastAsia="en-CA"/>
        </w:rPr>
        <w:t>91% of those were identifying as a visible minority.</w:t>
      </w:r>
    </w:p>
    <w:p w:rsidR="00FC133B" w:rsidRDefault="00FC133B">
      <w:pPr>
        <w:rPr>
          <w:rFonts w:ascii="Arial" w:eastAsia="Times New Roman" w:hAnsi="Arial" w:cs="Arial"/>
          <w:b/>
          <w:bCs/>
          <w:color w:val="666666"/>
          <w:sz w:val="24"/>
          <w:szCs w:val="24"/>
          <w:bdr w:val="none" w:sz="0" w:space="0" w:color="auto" w:frame="1"/>
          <w:lang w:eastAsia="en-CA"/>
        </w:rPr>
      </w:pPr>
    </w:p>
    <w:p w:rsidR="00DB0A28" w:rsidRPr="00FC133B" w:rsidRDefault="00C17890">
      <w:pPr>
        <w:rPr>
          <w:rFonts w:ascii="Arial" w:eastAsia="Times New Roman" w:hAnsi="Arial" w:cs="Arial"/>
          <w:b/>
          <w:bCs/>
          <w:color w:val="666666"/>
          <w:sz w:val="24"/>
          <w:szCs w:val="24"/>
          <w:bdr w:val="none" w:sz="0" w:space="0" w:color="auto" w:frame="1"/>
          <w:lang w:eastAsia="en-CA"/>
        </w:rPr>
      </w:pPr>
      <w:hyperlink r:id="rId20" w:history="1">
        <w:r w:rsidR="004B37D4" w:rsidRPr="004B37D4">
          <w:rPr>
            <w:rStyle w:val="Hyperlink"/>
            <w:rFonts w:ascii="Arial" w:eastAsia="Times New Roman" w:hAnsi="Arial" w:cs="Arial"/>
            <w:b/>
            <w:bCs/>
            <w:sz w:val="24"/>
            <w:szCs w:val="24"/>
            <w:bdr w:val="none" w:sz="0" w:space="0" w:color="auto" w:frame="1"/>
            <w:lang w:eastAsia="en-CA"/>
          </w:rPr>
          <w:t>http://fopl.ca/wp-content/uploads/2018/10/WEB-Nordicity-Full-Report.pdf</w:t>
        </w:r>
      </w:hyperlink>
    </w:p>
    <w:p w:rsidR="00FC133B" w:rsidRDefault="00FC133B">
      <w:pPr>
        <w:rPr>
          <w:rFonts w:ascii="Arial" w:eastAsia="Times New Roman" w:hAnsi="Arial" w:cs="Arial"/>
          <w:b/>
          <w:bCs/>
          <w:color w:val="666666"/>
          <w:sz w:val="21"/>
          <w:szCs w:val="21"/>
          <w:bdr w:val="none" w:sz="0" w:space="0" w:color="auto" w:frame="1"/>
          <w:lang w:eastAsia="en-CA"/>
        </w:rPr>
      </w:pPr>
      <w:r>
        <w:rPr>
          <w:rFonts w:ascii="Arial" w:eastAsia="Times New Roman" w:hAnsi="Arial" w:cs="Arial"/>
          <w:b/>
          <w:bCs/>
          <w:color w:val="666666"/>
          <w:sz w:val="21"/>
          <w:szCs w:val="21"/>
          <w:bdr w:val="none" w:sz="0" w:space="0" w:color="auto" w:frame="1"/>
          <w:lang w:eastAsia="en-CA"/>
        </w:rPr>
        <w:br w:type="page"/>
      </w:r>
    </w:p>
    <w:p w:rsidR="00FC133B" w:rsidRPr="00FC133B" w:rsidRDefault="004B37D4" w:rsidP="00FC133B">
      <w:pPr>
        <w:shd w:val="clear" w:color="auto" w:fill="FFFFFF"/>
        <w:spacing w:after="0" w:line="408" w:lineRule="atLeast"/>
        <w:textAlignment w:val="baseline"/>
        <w:rPr>
          <w:rFonts w:ascii="Arial" w:eastAsia="Times New Roman" w:hAnsi="Arial" w:cs="Arial"/>
          <w:color w:val="666666"/>
          <w:szCs w:val="21"/>
          <w:lang w:eastAsia="en-CA"/>
        </w:rPr>
      </w:pPr>
      <w:r>
        <w:rPr>
          <w:rFonts w:ascii="Arial" w:eastAsia="Times New Roman" w:hAnsi="Arial" w:cs="Arial"/>
          <w:b/>
          <w:bCs/>
          <w:color w:val="666666"/>
          <w:szCs w:val="21"/>
          <w:bdr w:val="none" w:sz="0" w:space="0" w:color="auto" w:frame="1"/>
          <w:lang w:eastAsia="en-CA"/>
        </w:rPr>
        <w:lastRenderedPageBreak/>
        <w:t>Economic Return on Investment</w:t>
      </w:r>
    </w:p>
    <w:p w:rsidR="00FC133B" w:rsidRPr="00FC133B" w:rsidRDefault="00FC133B" w:rsidP="00FC133B">
      <w:pPr>
        <w:shd w:val="clear" w:color="auto" w:fill="FFFFFF"/>
        <w:spacing w:after="0" w:line="408" w:lineRule="atLeast"/>
        <w:textAlignment w:val="baseline"/>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The following is a list of Canadian public libraries who have conducted an economic impact study applying this cost-benefit analysis (CBA) model first used by Toronto Public Library in 2013.  CBA is a commonly used approach to estimate the economic impact of public institutions. Please read “</w:t>
      </w:r>
      <w:hyperlink r:id="rId21" w:history="1">
        <w:r w:rsidRPr="00FC133B">
          <w:rPr>
            <w:rFonts w:ascii="Arial" w:eastAsia="Times New Roman" w:hAnsi="Arial" w:cs="Arial"/>
            <w:b/>
            <w:bCs/>
            <w:color w:val="2EA3F2"/>
            <w:sz w:val="21"/>
            <w:szCs w:val="21"/>
            <w:bdr w:val="none" w:sz="0" w:space="0" w:color="auto" w:frame="1"/>
            <w:lang w:eastAsia="en-CA"/>
          </w:rPr>
          <w:t>Understanding Economic Impact and Public Libraries</w:t>
        </w:r>
      </w:hyperlink>
      <w:r w:rsidRPr="00FC133B">
        <w:rPr>
          <w:rFonts w:ascii="Arial" w:eastAsia="Times New Roman" w:hAnsi="Arial" w:cs="Arial"/>
          <w:color w:val="666666"/>
          <w:sz w:val="21"/>
          <w:szCs w:val="21"/>
          <w:lang w:eastAsia="en-CA"/>
        </w:rPr>
        <w:t>” for a more detailed explanation of how CBA is applied to public libraries.</w:t>
      </w:r>
    </w:p>
    <w:p w:rsidR="00FC133B" w:rsidRPr="00FC133B" w:rsidRDefault="00FC133B" w:rsidP="00FC133B">
      <w:pPr>
        <w:shd w:val="clear" w:color="auto" w:fill="FFFFFF"/>
        <w:spacing w:after="0" w:line="408" w:lineRule="atLeast"/>
        <w:textAlignment w:val="baseline"/>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This CBA model is open and available for public use. </w:t>
      </w:r>
      <w:hyperlink r:id="rId22" w:history="1">
        <w:r w:rsidRPr="00FC133B">
          <w:rPr>
            <w:rFonts w:ascii="Arial" w:eastAsia="Times New Roman" w:hAnsi="Arial" w:cs="Arial"/>
            <w:color w:val="2EA3F2"/>
            <w:sz w:val="21"/>
            <w:szCs w:val="21"/>
            <w:u w:val="single"/>
            <w:bdr w:val="none" w:sz="0" w:space="0" w:color="auto" w:frame="1"/>
            <w:lang w:eastAsia="en-CA"/>
          </w:rPr>
          <w:t>Ottawa Public Library’s spreadsheet of calculations and data is open for others to use to calculate their own economic impact.</w:t>
        </w:r>
      </w:hyperlink>
    </w:p>
    <w:p w:rsidR="00FC133B" w:rsidRPr="00FC133B" w:rsidRDefault="00FC133B" w:rsidP="00FC133B">
      <w:pPr>
        <w:shd w:val="clear" w:color="auto" w:fill="FFFFFF"/>
        <w:spacing w:after="0" w:line="408" w:lineRule="atLeast"/>
        <w:textAlignment w:val="baseline"/>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This list is maintained by </w:t>
      </w:r>
      <w:hyperlink r:id="rId23" w:history="1">
        <w:r w:rsidRPr="00FC133B">
          <w:rPr>
            <w:rFonts w:ascii="Arial" w:eastAsia="Times New Roman" w:hAnsi="Arial" w:cs="Arial"/>
            <w:color w:val="2EA3F2"/>
            <w:sz w:val="21"/>
            <w:szCs w:val="21"/>
            <w:u w:val="single"/>
            <w:bdr w:val="none" w:sz="0" w:space="0" w:color="auto" w:frame="1"/>
            <w:lang w:eastAsia="en-CA"/>
          </w:rPr>
          <w:t>Brightsail Research</w:t>
        </w:r>
      </w:hyperlink>
      <w:r w:rsidRPr="00FC133B">
        <w:rPr>
          <w:rFonts w:ascii="Arial" w:eastAsia="Times New Roman" w:hAnsi="Arial" w:cs="Arial"/>
          <w:color w:val="666666"/>
          <w:sz w:val="21"/>
          <w:szCs w:val="21"/>
          <w:lang w:eastAsia="en-CA"/>
        </w:rPr>
        <w:t> partner </w:t>
      </w:r>
      <w:hyperlink r:id="rId24" w:history="1">
        <w:r w:rsidRPr="00FC133B">
          <w:rPr>
            <w:rFonts w:ascii="Arial" w:eastAsia="Times New Roman" w:hAnsi="Arial" w:cs="Arial"/>
            <w:color w:val="2EA3F2"/>
            <w:sz w:val="21"/>
            <w:szCs w:val="21"/>
            <w:u w:val="single"/>
            <w:bdr w:val="none" w:sz="0" w:space="0" w:color="auto" w:frame="1"/>
            <w:lang w:eastAsia="en-CA"/>
          </w:rPr>
          <w:t>Kimberly Silk</w:t>
        </w:r>
      </w:hyperlink>
      <w:r w:rsidRPr="00FC133B">
        <w:rPr>
          <w:rFonts w:ascii="Arial" w:eastAsia="Times New Roman" w:hAnsi="Arial" w:cs="Arial"/>
          <w:color w:val="666666"/>
          <w:sz w:val="21"/>
          <w:szCs w:val="21"/>
          <w:lang w:eastAsia="en-CA"/>
        </w:rPr>
        <w:t>.</w:t>
      </w:r>
    </w:p>
    <w:tbl>
      <w:tblPr>
        <w:tblW w:w="1191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302"/>
        <w:gridCol w:w="1754"/>
        <w:gridCol w:w="2590"/>
        <w:gridCol w:w="1908"/>
        <w:gridCol w:w="2356"/>
      </w:tblGrid>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b/>
                <w:bCs/>
                <w:color w:val="666666"/>
                <w:sz w:val="21"/>
                <w:szCs w:val="21"/>
                <w:bdr w:val="none" w:sz="0" w:space="0" w:color="auto" w:frame="1"/>
                <w:lang w:eastAsia="en-CA"/>
              </w:rPr>
              <w:t>Library</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b/>
                <w:bCs/>
                <w:color w:val="666666"/>
                <w:sz w:val="21"/>
                <w:szCs w:val="21"/>
                <w:bdr w:val="none" w:sz="0" w:space="0" w:color="auto" w:frame="1"/>
                <w:lang w:eastAsia="en-CA"/>
              </w:rPr>
              <w:t>Year Published</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b/>
                <w:bCs/>
                <w:color w:val="666666"/>
                <w:sz w:val="21"/>
                <w:szCs w:val="21"/>
                <w:bdr w:val="none" w:sz="0" w:space="0" w:color="auto" w:frame="1"/>
                <w:lang w:eastAsia="en-CA"/>
              </w:rPr>
              <w:t>2011 Census Population</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b/>
                <w:bCs/>
                <w:color w:val="666666"/>
                <w:sz w:val="21"/>
                <w:szCs w:val="21"/>
                <w:bdr w:val="none" w:sz="0" w:space="0" w:color="auto" w:frame="1"/>
                <w:lang w:eastAsia="en-CA"/>
              </w:rPr>
              <w:t># Branches</w:t>
            </w:r>
            <w:r w:rsidRPr="00FC133B">
              <w:rPr>
                <w:rFonts w:ascii="Arial" w:eastAsia="Times New Roman" w:hAnsi="Arial" w:cs="Arial"/>
                <w:b/>
                <w:bCs/>
                <w:color w:val="666666"/>
                <w:sz w:val="21"/>
                <w:szCs w:val="21"/>
                <w:bdr w:val="none" w:sz="0" w:space="0" w:color="auto" w:frame="1"/>
                <w:lang w:eastAsia="en-CA"/>
              </w:rPr>
              <w:br/>
              <w:t>(at time of study)</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b/>
                <w:bCs/>
                <w:color w:val="666666"/>
                <w:sz w:val="21"/>
                <w:szCs w:val="21"/>
                <w:bdr w:val="none" w:sz="0" w:space="0" w:color="auto" w:frame="1"/>
                <w:lang w:eastAsia="en-CA"/>
              </w:rPr>
              <w:t>Return on $1 Invested</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25" w:history="1">
              <w:r w:rsidR="00FC133B" w:rsidRPr="00FC133B">
                <w:rPr>
                  <w:rFonts w:ascii="Arial" w:eastAsia="Times New Roman" w:hAnsi="Arial" w:cs="Arial"/>
                  <w:color w:val="2EA3F2"/>
                  <w:sz w:val="21"/>
                  <w:szCs w:val="21"/>
                  <w:u w:val="single"/>
                  <w:bdr w:val="none" w:sz="0" w:space="0" w:color="auto" w:frame="1"/>
                  <w:lang w:eastAsia="en-CA"/>
                </w:rPr>
                <w:t>Toronto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2013</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2,615,060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98</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$5.63</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26" w:history="1">
              <w:r w:rsidR="00FC133B" w:rsidRPr="00FC133B">
                <w:rPr>
                  <w:rFonts w:ascii="Arial" w:eastAsia="Times New Roman" w:hAnsi="Arial" w:cs="Arial"/>
                  <w:color w:val="2EA3F2"/>
                  <w:sz w:val="21"/>
                  <w:szCs w:val="21"/>
                  <w:u w:val="single"/>
                  <w:bdr w:val="none" w:sz="0" w:space="0" w:color="auto" w:frame="1"/>
                  <w:lang w:eastAsia="en-CA"/>
                </w:rPr>
                <w:t>Halton Hills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2014</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59,008</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$3.96</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27" w:history="1">
              <w:r w:rsidR="00FC133B" w:rsidRPr="00FC133B">
                <w:rPr>
                  <w:rFonts w:ascii="Arial" w:eastAsia="Times New Roman" w:hAnsi="Arial" w:cs="Arial"/>
                  <w:color w:val="2EA3F2"/>
                  <w:sz w:val="21"/>
                  <w:szCs w:val="21"/>
                  <w:u w:val="single"/>
                  <w:bdr w:val="none" w:sz="0" w:space="0" w:color="auto" w:frame="1"/>
                  <w:lang w:eastAsia="en-CA"/>
                </w:rPr>
                <w:t>Milton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2014</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84,362</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$5.67</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28" w:history="1">
              <w:r w:rsidR="00FC133B" w:rsidRPr="00FC133B">
                <w:rPr>
                  <w:rFonts w:ascii="Arial" w:eastAsia="Times New Roman" w:hAnsi="Arial" w:cs="Arial"/>
                  <w:color w:val="2EA3F2"/>
                  <w:sz w:val="21"/>
                  <w:szCs w:val="21"/>
                  <w:u w:val="single"/>
                  <w:bdr w:val="none" w:sz="0" w:space="0" w:color="auto" w:frame="1"/>
                  <w:lang w:eastAsia="en-CA"/>
                </w:rPr>
                <w:t>Pickering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2014</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88,721</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$5.85</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29" w:history="1">
              <w:r w:rsidR="00FC133B" w:rsidRPr="00FC133B">
                <w:rPr>
                  <w:rFonts w:ascii="Arial" w:eastAsia="Times New Roman" w:hAnsi="Arial" w:cs="Arial"/>
                  <w:color w:val="2EA3F2"/>
                  <w:sz w:val="21"/>
                  <w:szCs w:val="21"/>
                  <w:u w:val="single"/>
                  <w:bdr w:val="none" w:sz="0" w:space="0" w:color="auto" w:frame="1"/>
                  <w:lang w:eastAsia="en-CA"/>
                </w:rPr>
                <w:t>Stratford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2015</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30,886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1</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$5.63</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0" w:history="1">
              <w:r w:rsidR="00FC133B" w:rsidRPr="00FC133B">
                <w:rPr>
                  <w:rFonts w:ascii="Arial" w:eastAsia="Times New Roman" w:hAnsi="Arial" w:cs="Arial"/>
                  <w:color w:val="2EA3F2"/>
                  <w:sz w:val="21"/>
                  <w:szCs w:val="21"/>
                  <w:u w:val="single"/>
                  <w:bdr w:val="none" w:sz="0" w:space="0" w:color="auto" w:frame="1"/>
                  <w:lang w:eastAsia="en-CA"/>
                </w:rPr>
                <w:t>Sault Ste.-Marie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2015</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75,000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$2.36</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1" w:history="1">
              <w:r w:rsidR="00FC133B" w:rsidRPr="00FC133B">
                <w:rPr>
                  <w:rFonts w:ascii="Arial" w:eastAsia="Times New Roman" w:hAnsi="Arial" w:cs="Arial"/>
                  <w:color w:val="2EA3F2"/>
                  <w:sz w:val="21"/>
                  <w:szCs w:val="21"/>
                  <w:u w:val="single"/>
                  <w:bdr w:val="none" w:sz="0" w:space="0" w:color="auto" w:frame="1"/>
                  <w:lang w:eastAsia="en-CA"/>
                </w:rPr>
                <w:t>Kawartha Lakes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2015</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73,214</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15</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$7.05</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2" w:history="1">
              <w:r w:rsidR="00FC133B" w:rsidRPr="00FC133B">
                <w:rPr>
                  <w:rFonts w:ascii="Arial" w:eastAsia="Times New Roman" w:hAnsi="Arial" w:cs="Arial"/>
                  <w:color w:val="2EA3F2"/>
                  <w:sz w:val="21"/>
                  <w:szCs w:val="21"/>
                  <w:u w:val="single"/>
                  <w:bdr w:val="none" w:sz="0" w:space="0" w:color="auto" w:frame="1"/>
                  <w:lang w:eastAsia="en-CA"/>
                </w:rPr>
                <w:t>London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2015</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366,151</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16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$6.68</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3" w:history="1">
              <w:r w:rsidR="00FC133B" w:rsidRPr="00FC133B">
                <w:rPr>
                  <w:rFonts w:ascii="Arial" w:eastAsia="Times New Roman" w:hAnsi="Arial" w:cs="Arial"/>
                  <w:color w:val="2EA3F2"/>
                  <w:sz w:val="21"/>
                  <w:szCs w:val="21"/>
                  <w:u w:val="single"/>
                  <w:bdr w:val="none" w:sz="0" w:space="0" w:color="auto" w:frame="1"/>
                  <w:lang w:eastAsia="en-CA"/>
                </w:rPr>
                <w:t>Vancouver Island Regional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430,000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38</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$5.36</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4" w:history="1">
              <w:r w:rsidR="00FC133B" w:rsidRPr="00FC133B">
                <w:rPr>
                  <w:rFonts w:ascii="Arial" w:eastAsia="Times New Roman" w:hAnsi="Arial" w:cs="Arial"/>
                  <w:color w:val="2EA3F2"/>
                  <w:sz w:val="21"/>
                  <w:szCs w:val="21"/>
                  <w:u w:val="single"/>
                  <w:bdr w:val="none" w:sz="0" w:space="0" w:color="auto" w:frame="1"/>
                  <w:lang w:eastAsia="en-CA"/>
                </w:rPr>
                <w:t>Ottawa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883,391</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33</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$5.17</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5" w:history="1">
              <w:r w:rsidR="00FC133B" w:rsidRPr="00FC133B">
                <w:rPr>
                  <w:rFonts w:ascii="Arial" w:eastAsia="Times New Roman" w:hAnsi="Arial" w:cs="Arial"/>
                  <w:color w:val="2EA3F2"/>
                  <w:sz w:val="21"/>
                  <w:szCs w:val="21"/>
                  <w:u w:val="single"/>
                  <w:bdr w:val="none" w:sz="0" w:space="0" w:color="auto" w:frame="1"/>
                  <w:lang w:eastAsia="en-CA"/>
                </w:rPr>
                <w:t>Newmarket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79,978</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1</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$7.85</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6" w:history="1">
              <w:r w:rsidR="00FC133B" w:rsidRPr="00FC133B">
                <w:rPr>
                  <w:rFonts w:ascii="Arial" w:eastAsia="Times New Roman" w:hAnsi="Arial" w:cs="Arial"/>
                  <w:color w:val="2EA3F2"/>
                  <w:sz w:val="21"/>
                  <w:szCs w:val="21"/>
                  <w:u w:val="single"/>
                  <w:bdr w:val="none" w:sz="0" w:space="0" w:color="auto" w:frame="1"/>
                  <w:lang w:eastAsia="en-CA"/>
                </w:rPr>
                <w:t>Edmonton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2016</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812,200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22</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$3.11</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7" w:history="1">
              <w:r w:rsidR="00FC133B" w:rsidRPr="00FC133B">
                <w:rPr>
                  <w:rFonts w:ascii="Arial" w:eastAsia="Times New Roman" w:hAnsi="Arial" w:cs="Arial"/>
                  <w:color w:val="2EA3F2"/>
                  <w:sz w:val="21"/>
                  <w:szCs w:val="21"/>
                  <w:u w:val="single"/>
                  <w:bdr w:val="none" w:sz="0" w:space="0" w:color="auto" w:frame="1"/>
                  <w:lang w:eastAsia="en-CA"/>
                </w:rPr>
                <w:t>Burlington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2017</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175,780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7</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$5.64</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8" w:history="1">
              <w:r w:rsidR="00FC133B" w:rsidRPr="00FC133B">
                <w:rPr>
                  <w:rFonts w:ascii="Arial" w:eastAsia="Times New Roman" w:hAnsi="Arial" w:cs="Arial"/>
                  <w:color w:val="2EA3F2"/>
                  <w:sz w:val="21"/>
                  <w:szCs w:val="21"/>
                  <w:u w:val="single"/>
                  <w:bdr w:val="none" w:sz="0" w:space="0" w:color="auto" w:frame="1"/>
                  <w:lang w:eastAsia="en-CA"/>
                </w:rPr>
                <w:t>Hamilton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2017</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519,950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22</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$5.59</w:t>
            </w:r>
          </w:p>
        </w:tc>
      </w:tr>
      <w:tr w:rsidR="00FC133B" w:rsidRPr="00FC133B" w:rsidTr="00FC133B">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C17890" w:rsidP="00FC133B">
            <w:pPr>
              <w:spacing w:after="0" w:line="240" w:lineRule="auto"/>
              <w:rPr>
                <w:rFonts w:ascii="Arial" w:eastAsia="Times New Roman" w:hAnsi="Arial" w:cs="Arial"/>
                <w:color w:val="666666"/>
                <w:sz w:val="21"/>
                <w:szCs w:val="21"/>
                <w:lang w:eastAsia="en-CA"/>
              </w:rPr>
            </w:pPr>
            <w:hyperlink r:id="rId39" w:history="1">
              <w:r w:rsidR="00FC133B" w:rsidRPr="00FC133B">
                <w:rPr>
                  <w:rFonts w:ascii="Arial" w:eastAsia="Times New Roman" w:hAnsi="Arial" w:cs="Arial"/>
                  <w:color w:val="2EA3F2"/>
                  <w:sz w:val="21"/>
                  <w:szCs w:val="21"/>
                  <w:u w:val="single"/>
                  <w:bdr w:val="none" w:sz="0" w:space="0" w:color="auto" w:frame="1"/>
                  <w:lang w:eastAsia="en-CA"/>
                </w:rPr>
                <w:t>Vaughan Public Library</w:t>
              </w:r>
            </w:hyperlink>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2017</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288,300</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9</w:t>
            </w:r>
          </w:p>
        </w:tc>
        <w:tc>
          <w:tcPr>
            <w:tcW w:w="0" w:type="auto"/>
            <w:tcBorders>
              <w:top w:val="single" w:sz="6" w:space="0" w:color="EEEEEE"/>
            </w:tcBorders>
            <w:shd w:val="clear" w:color="auto" w:fill="FFFFFF"/>
            <w:tcMar>
              <w:top w:w="206" w:type="dxa"/>
              <w:left w:w="141" w:type="dxa"/>
              <w:bottom w:w="206" w:type="dxa"/>
              <w:right w:w="141" w:type="dxa"/>
            </w:tcMar>
            <w:vAlign w:val="center"/>
            <w:hideMark/>
          </w:tcPr>
          <w:p w:rsidR="00FC133B" w:rsidRPr="00FC133B" w:rsidRDefault="00FC133B" w:rsidP="00FC133B">
            <w:pPr>
              <w:spacing w:after="0" w:line="240" w:lineRule="auto"/>
              <w:rPr>
                <w:rFonts w:ascii="Arial" w:eastAsia="Times New Roman" w:hAnsi="Arial" w:cs="Arial"/>
                <w:color w:val="666666"/>
                <w:sz w:val="21"/>
                <w:szCs w:val="21"/>
                <w:lang w:eastAsia="en-CA"/>
              </w:rPr>
            </w:pPr>
            <w:r w:rsidRPr="00FC133B">
              <w:rPr>
                <w:rFonts w:ascii="Arial" w:eastAsia="Times New Roman" w:hAnsi="Arial" w:cs="Arial"/>
                <w:color w:val="666666"/>
                <w:sz w:val="21"/>
                <w:szCs w:val="21"/>
                <w:lang w:eastAsia="en-CA"/>
              </w:rPr>
              <w:t>$5.57</w:t>
            </w:r>
          </w:p>
        </w:tc>
      </w:tr>
    </w:tbl>
    <w:p w:rsidR="00FC133B" w:rsidRPr="00581ECE" w:rsidRDefault="00FC133B" w:rsidP="004B37D4">
      <w:pPr>
        <w:shd w:val="clear" w:color="auto" w:fill="FFFFFF"/>
        <w:spacing w:after="0" w:line="408" w:lineRule="atLeast"/>
        <w:textAlignment w:val="baseline"/>
        <w:rPr>
          <w:rFonts w:ascii="Arial" w:hAnsi="Arial" w:cs="Arial"/>
          <w:sz w:val="24"/>
          <w:szCs w:val="24"/>
        </w:rPr>
      </w:pPr>
    </w:p>
    <w:sectPr w:rsidR="00FC133B" w:rsidRPr="00581ECE" w:rsidSect="00596D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0E7"/>
    <w:multiLevelType w:val="multilevel"/>
    <w:tmpl w:val="5FBC2CE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1BB23831"/>
    <w:multiLevelType w:val="hybridMultilevel"/>
    <w:tmpl w:val="FEB86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4F40C3"/>
    <w:multiLevelType w:val="hybridMultilevel"/>
    <w:tmpl w:val="664A83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50677DF"/>
    <w:multiLevelType w:val="hybridMultilevel"/>
    <w:tmpl w:val="CD68A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C22B48"/>
    <w:multiLevelType w:val="multilevel"/>
    <w:tmpl w:val="3DCE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14706"/>
    <w:multiLevelType w:val="hybridMultilevel"/>
    <w:tmpl w:val="E75EB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C912F6"/>
    <w:multiLevelType w:val="multilevel"/>
    <w:tmpl w:val="304C2BD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650F2E47"/>
    <w:multiLevelType w:val="hybridMultilevel"/>
    <w:tmpl w:val="0F405B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8140F0C"/>
    <w:multiLevelType w:val="hybridMultilevel"/>
    <w:tmpl w:val="F5D81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EF5E4B"/>
    <w:multiLevelType w:val="hybridMultilevel"/>
    <w:tmpl w:val="56961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8C62FD"/>
    <w:multiLevelType w:val="hybridMultilevel"/>
    <w:tmpl w:val="4B00A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3C47AE"/>
    <w:multiLevelType w:val="hybridMultilevel"/>
    <w:tmpl w:val="5A223B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577FE2"/>
    <w:multiLevelType w:val="hybridMultilevel"/>
    <w:tmpl w:val="A4164A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FBF11C1"/>
    <w:multiLevelType w:val="multilevel"/>
    <w:tmpl w:val="9EB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3"/>
  </w:num>
  <w:num w:numId="4">
    <w:abstractNumId w:val="2"/>
  </w:num>
  <w:num w:numId="5">
    <w:abstractNumId w:val="8"/>
  </w:num>
  <w:num w:numId="6">
    <w:abstractNumId w:val="1"/>
  </w:num>
  <w:num w:numId="7">
    <w:abstractNumId w:val="3"/>
  </w:num>
  <w:num w:numId="8">
    <w:abstractNumId w:val="10"/>
  </w:num>
  <w:num w:numId="9">
    <w:abstractNumId w:val="11"/>
  </w:num>
  <w:num w:numId="10">
    <w:abstractNumId w:val="9"/>
  </w:num>
  <w:num w:numId="11">
    <w:abstractNumId w:val="6"/>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95"/>
    <w:rsid w:val="0002012D"/>
    <w:rsid w:val="000B34B1"/>
    <w:rsid w:val="004930BE"/>
    <w:rsid w:val="004B37D4"/>
    <w:rsid w:val="004E4F5F"/>
    <w:rsid w:val="00550402"/>
    <w:rsid w:val="00581ECE"/>
    <w:rsid w:val="00596D51"/>
    <w:rsid w:val="006873C0"/>
    <w:rsid w:val="007119B4"/>
    <w:rsid w:val="007B2F9A"/>
    <w:rsid w:val="009D066A"/>
    <w:rsid w:val="00B23DDB"/>
    <w:rsid w:val="00C17890"/>
    <w:rsid w:val="00D51516"/>
    <w:rsid w:val="00DB0A28"/>
    <w:rsid w:val="00E50E06"/>
    <w:rsid w:val="00E51F99"/>
    <w:rsid w:val="00E64395"/>
    <w:rsid w:val="00F637E6"/>
    <w:rsid w:val="00FC133B"/>
    <w:rsid w:val="00FF1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F22B"/>
  <w15:chartTrackingRefBased/>
  <w15:docId w15:val="{E1AB4641-9CD2-4A09-AB21-E329C525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6439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3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64395"/>
    <w:rPr>
      <w:color w:val="0000FF"/>
      <w:u w:val="single"/>
    </w:rPr>
  </w:style>
  <w:style w:type="character" w:styleId="Strong">
    <w:name w:val="Strong"/>
    <w:basedOn w:val="DefaultParagraphFont"/>
    <w:uiPriority w:val="22"/>
    <w:qFormat/>
    <w:rsid w:val="00E64395"/>
    <w:rPr>
      <w:b/>
      <w:bCs/>
    </w:rPr>
  </w:style>
  <w:style w:type="paragraph" w:styleId="ListParagraph">
    <w:name w:val="List Paragraph"/>
    <w:basedOn w:val="Normal"/>
    <w:uiPriority w:val="34"/>
    <w:qFormat/>
    <w:rsid w:val="00E64395"/>
    <w:pPr>
      <w:ind w:left="720"/>
      <w:contextualSpacing/>
    </w:pPr>
  </w:style>
  <w:style w:type="character" w:customStyle="1" w:styleId="Heading1Char">
    <w:name w:val="Heading 1 Char"/>
    <w:basedOn w:val="DefaultParagraphFont"/>
    <w:link w:val="Heading1"/>
    <w:uiPriority w:val="9"/>
    <w:rsid w:val="00E6439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64395"/>
    <w:rPr>
      <w:rFonts w:ascii="Times New Roman" w:eastAsia="Times New Roman" w:hAnsi="Times New Roman" w:cs="Times New Roman"/>
      <w:b/>
      <w:bCs/>
      <w:sz w:val="24"/>
      <w:szCs w:val="24"/>
      <w:lang w:eastAsia="en-CA"/>
    </w:rPr>
  </w:style>
  <w:style w:type="paragraph" w:customStyle="1" w:styleId="Default">
    <w:name w:val="Default"/>
    <w:rsid w:val="007119B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6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9A"/>
    <w:rPr>
      <w:rFonts w:ascii="Segoe UI" w:hAnsi="Segoe UI" w:cs="Segoe UI"/>
      <w:sz w:val="18"/>
      <w:szCs w:val="18"/>
    </w:rPr>
  </w:style>
  <w:style w:type="paragraph" w:styleId="NoSpacing">
    <w:name w:val="No Spacing"/>
    <w:uiPriority w:val="1"/>
    <w:qFormat/>
    <w:rsid w:val="004E4F5F"/>
    <w:pPr>
      <w:spacing w:after="0" w:line="240" w:lineRule="auto"/>
    </w:pPr>
  </w:style>
  <w:style w:type="paragraph" w:customStyle="1" w:styleId="post-meta">
    <w:name w:val="post-meta"/>
    <w:basedOn w:val="Normal"/>
    <w:rsid w:val="00FC13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mments-number">
    <w:name w:val="comments-number"/>
    <w:basedOn w:val="DefaultParagraphFont"/>
    <w:rsid w:val="00FC133B"/>
  </w:style>
  <w:style w:type="character" w:styleId="Emphasis">
    <w:name w:val="Emphasis"/>
    <w:basedOn w:val="DefaultParagraphFont"/>
    <w:uiPriority w:val="20"/>
    <w:qFormat/>
    <w:rsid w:val="00FC1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85">
      <w:bodyDiv w:val="1"/>
      <w:marLeft w:val="0"/>
      <w:marRight w:val="0"/>
      <w:marTop w:val="0"/>
      <w:marBottom w:val="0"/>
      <w:divBdr>
        <w:top w:val="none" w:sz="0" w:space="0" w:color="auto"/>
        <w:left w:val="none" w:sz="0" w:space="0" w:color="auto"/>
        <w:bottom w:val="none" w:sz="0" w:space="0" w:color="auto"/>
        <w:right w:val="none" w:sz="0" w:space="0" w:color="auto"/>
      </w:divBdr>
    </w:div>
    <w:div w:id="305476603">
      <w:bodyDiv w:val="1"/>
      <w:marLeft w:val="0"/>
      <w:marRight w:val="0"/>
      <w:marTop w:val="0"/>
      <w:marBottom w:val="0"/>
      <w:divBdr>
        <w:top w:val="none" w:sz="0" w:space="0" w:color="auto"/>
        <w:left w:val="none" w:sz="0" w:space="0" w:color="auto"/>
        <w:bottom w:val="none" w:sz="0" w:space="0" w:color="auto"/>
        <w:right w:val="none" w:sz="0" w:space="0" w:color="auto"/>
      </w:divBdr>
    </w:div>
    <w:div w:id="1710377248">
      <w:bodyDiv w:val="1"/>
      <w:marLeft w:val="0"/>
      <w:marRight w:val="0"/>
      <w:marTop w:val="0"/>
      <w:marBottom w:val="0"/>
      <w:divBdr>
        <w:top w:val="none" w:sz="0" w:space="0" w:color="auto"/>
        <w:left w:val="none" w:sz="0" w:space="0" w:color="auto"/>
        <w:bottom w:val="none" w:sz="0" w:space="0" w:color="auto"/>
        <w:right w:val="none" w:sz="0" w:space="0" w:color="auto"/>
      </w:divBdr>
      <w:divsChild>
        <w:div w:id="1422674845">
          <w:marLeft w:val="0"/>
          <w:marRight w:val="0"/>
          <w:marTop w:val="0"/>
          <w:marBottom w:val="0"/>
          <w:divBdr>
            <w:top w:val="none" w:sz="0" w:space="0" w:color="auto"/>
            <w:left w:val="none" w:sz="0" w:space="0" w:color="auto"/>
            <w:bottom w:val="none" w:sz="0" w:space="0" w:color="auto"/>
            <w:right w:val="none" w:sz="0" w:space="0" w:color="auto"/>
          </w:divBdr>
          <w:divsChild>
            <w:div w:id="1475414489">
              <w:marLeft w:val="0"/>
              <w:marRight w:val="0"/>
              <w:marTop w:val="0"/>
              <w:marBottom w:val="0"/>
              <w:divBdr>
                <w:top w:val="none" w:sz="0" w:space="0" w:color="auto"/>
                <w:left w:val="none" w:sz="0" w:space="0" w:color="auto"/>
                <w:bottom w:val="none" w:sz="0" w:space="0" w:color="auto"/>
                <w:right w:val="none" w:sz="0" w:space="0" w:color="auto"/>
              </w:divBdr>
              <w:divsChild>
                <w:div w:id="1742361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7698928">
          <w:marLeft w:val="0"/>
          <w:marRight w:val="0"/>
          <w:marTop w:val="0"/>
          <w:marBottom w:val="0"/>
          <w:divBdr>
            <w:top w:val="none" w:sz="0" w:space="0" w:color="auto"/>
            <w:left w:val="none" w:sz="0" w:space="0" w:color="auto"/>
            <w:bottom w:val="none" w:sz="0" w:space="0" w:color="auto"/>
            <w:right w:val="none" w:sz="0" w:space="0" w:color="auto"/>
          </w:divBdr>
          <w:divsChild>
            <w:div w:id="1751538155">
              <w:marLeft w:val="0"/>
              <w:marRight w:val="0"/>
              <w:marTop w:val="0"/>
              <w:marBottom w:val="0"/>
              <w:divBdr>
                <w:top w:val="none" w:sz="0" w:space="0" w:color="auto"/>
                <w:left w:val="none" w:sz="0" w:space="0" w:color="auto"/>
                <w:bottom w:val="none" w:sz="0" w:space="0" w:color="auto"/>
                <w:right w:val="none" w:sz="0" w:space="0" w:color="auto"/>
              </w:divBdr>
              <w:divsChild>
                <w:div w:id="15943175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5171758">
          <w:marLeft w:val="0"/>
          <w:marRight w:val="0"/>
          <w:marTop w:val="0"/>
          <w:marBottom w:val="0"/>
          <w:divBdr>
            <w:top w:val="none" w:sz="0" w:space="0" w:color="auto"/>
            <w:left w:val="none" w:sz="0" w:space="0" w:color="auto"/>
            <w:bottom w:val="none" w:sz="0" w:space="0" w:color="auto"/>
            <w:right w:val="none" w:sz="0" w:space="0" w:color="auto"/>
          </w:divBdr>
          <w:divsChild>
            <w:div w:id="1224173089">
              <w:marLeft w:val="0"/>
              <w:marRight w:val="0"/>
              <w:marTop w:val="0"/>
              <w:marBottom w:val="0"/>
              <w:divBdr>
                <w:top w:val="none" w:sz="0" w:space="0" w:color="auto"/>
                <w:left w:val="none" w:sz="0" w:space="0" w:color="auto"/>
                <w:bottom w:val="none" w:sz="0" w:space="0" w:color="auto"/>
                <w:right w:val="none" w:sz="0" w:space="0" w:color="auto"/>
              </w:divBdr>
              <w:divsChild>
                <w:div w:id="1847750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2504281">
          <w:marLeft w:val="0"/>
          <w:marRight w:val="0"/>
          <w:marTop w:val="0"/>
          <w:marBottom w:val="0"/>
          <w:divBdr>
            <w:top w:val="none" w:sz="0" w:space="0" w:color="auto"/>
            <w:left w:val="none" w:sz="0" w:space="0" w:color="auto"/>
            <w:bottom w:val="none" w:sz="0" w:space="0" w:color="auto"/>
            <w:right w:val="none" w:sz="0" w:space="0" w:color="auto"/>
          </w:divBdr>
          <w:divsChild>
            <w:div w:id="1344554297">
              <w:marLeft w:val="0"/>
              <w:marRight w:val="0"/>
              <w:marTop w:val="0"/>
              <w:marBottom w:val="0"/>
              <w:divBdr>
                <w:top w:val="none" w:sz="0" w:space="0" w:color="auto"/>
                <w:left w:val="none" w:sz="0" w:space="0" w:color="auto"/>
                <w:bottom w:val="none" w:sz="0" w:space="0" w:color="auto"/>
                <w:right w:val="none" w:sz="0" w:space="0" w:color="auto"/>
              </w:divBdr>
              <w:divsChild>
                <w:div w:id="21248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3297241">
          <w:marLeft w:val="0"/>
          <w:marRight w:val="0"/>
          <w:marTop w:val="0"/>
          <w:marBottom w:val="0"/>
          <w:divBdr>
            <w:top w:val="none" w:sz="0" w:space="0" w:color="auto"/>
            <w:left w:val="none" w:sz="0" w:space="0" w:color="auto"/>
            <w:bottom w:val="none" w:sz="0" w:space="0" w:color="auto"/>
            <w:right w:val="none" w:sz="0" w:space="0" w:color="auto"/>
          </w:divBdr>
          <w:divsChild>
            <w:div w:id="1658067008">
              <w:marLeft w:val="0"/>
              <w:marRight w:val="0"/>
              <w:marTop w:val="0"/>
              <w:marBottom w:val="0"/>
              <w:divBdr>
                <w:top w:val="none" w:sz="0" w:space="0" w:color="auto"/>
                <w:left w:val="none" w:sz="0" w:space="0" w:color="auto"/>
                <w:bottom w:val="none" w:sz="0" w:space="0" w:color="auto"/>
                <w:right w:val="none" w:sz="0" w:space="0" w:color="auto"/>
              </w:divBdr>
              <w:divsChild>
                <w:div w:id="255138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5328561">
      <w:bodyDiv w:val="1"/>
      <w:marLeft w:val="0"/>
      <w:marRight w:val="0"/>
      <w:marTop w:val="0"/>
      <w:marBottom w:val="0"/>
      <w:divBdr>
        <w:top w:val="none" w:sz="0" w:space="0" w:color="auto"/>
        <w:left w:val="none" w:sz="0" w:space="0" w:color="auto"/>
        <w:bottom w:val="none" w:sz="0" w:space="0" w:color="auto"/>
        <w:right w:val="none" w:sz="0" w:space="0" w:color="auto"/>
      </w:divBdr>
    </w:div>
    <w:div w:id="20954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tephenabram1/community-report-dryden-2" TargetMode="External"/><Relationship Id="rId13" Type="http://schemas.openxmlformats.org/officeDocument/2006/relationships/hyperlink" Target="http://home.olsn.ca/images/Resources/EN/FINAL-Template-for-Community-Report.zip" TargetMode="External"/><Relationship Id="rId18" Type="http://schemas.openxmlformats.org/officeDocument/2006/relationships/hyperlink" Target="http://home.olsn.ca/resources/valuing-northern-libraries-toolkit" TargetMode="External"/><Relationship Id="rId26" Type="http://schemas.openxmlformats.org/officeDocument/2006/relationships/hyperlink" Target="https://libraryresearchnetwork.org/halton-hills-public-library-creates-over-18-million-in-total-economic-impact/" TargetMode="External"/><Relationship Id="rId39" Type="http://schemas.openxmlformats.org/officeDocument/2006/relationships/hyperlink" Target="https://libraryresearchnetwork.org/vaughan-public-libraries-delivers-approximately-315-of-economic-impact-for-every-citizen/" TargetMode="External"/><Relationship Id="rId3" Type="http://schemas.openxmlformats.org/officeDocument/2006/relationships/settings" Target="settings.xml"/><Relationship Id="rId21" Type="http://schemas.openxmlformats.org/officeDocument/2006/relationships/hyperlink" Target="https://libraryresearchnetwork.org/understanding-economic-impact-and-public-libraries/" TargetMode="External"/><Relationship Id="rId34" Type="http://schemas.openxmlformats.org/officeDocument/2006/relationships/hyperlink" Target="https://libraryresearchnetwork.org/ottawa-public-library-delivers-5-17-in-benefits-for-every-1-invested/" TargetMode="External"/><Relationship Id="rId7" Type="http://schemas.openxmlformats.org/officeDocument/2006/relationships/hyperlink" Target="https://www.slideshare.net/stephenabram1/kenora-final-community-report" TargetMode="External"/><Relationship Id="rId12" Type="http://schemas.openxmlformats.org/officeDocument/2006/relationships/hyperlink" Target="http://home.olsn.ca/images/Resources/March-29-SROI-template-in-English--French.zip" TargetMode="External"/><Relationship Id="rId17" Type="http://schemas.openxmlformats.org/officeDocument/2006/relationships/hyperlink" Target="http://fopl.ca/news/2017-ontario-public-library-statistics/" TargetMode="External"/><Relationship Id="rId25" Type="http://schemas.openxmlformats.org/officeDocument/2006/relationships/hyperlink" Target="https://libraryresearchnetwork.org/much-economic-impact-toronto-public-library-city-toronto-2013/" TargetMode="External"/><Relationship Id="rId33" Type="http://schemas.openxmlformats.org/officeDocument/2006/relationships/hyperlink" Target="https://libraryresearchnetwork.org/vancouver-island-regional-library-generated-a-total-economic-impact-of-94783558-in-2015/" TargetMode="External"/><Relationship Id="rId38" Type="http://schemas.openxmlformats.org/officeDocument/2006/relationships/hyperlink" Target="https://libraryresearchnetwork.org/hamilton-public-library-generates-5-59-in-value-for-every-1-invested/" TargetMode="External"/><Relationship Id="rId2" Type="http://schemas.openxmlformats.org/officeDocument/2006/relationships/styles" Target="styles.xml"/><Relationship Id="rId16" Type="http://schemas.openxmlformats.org/officeDocument/2006/relationships/hyperlink" Target="http://fopl.ca/news/special-reports-from-the-2017-ontario-public-library-operating-data/" TargetMode="External"/><Relationship Id="rId20" Type="http://schemas.openxmlformats.org/officeDocument/2006/relationships/hyperlink" Target="http://fopl.ca/wp-content/uploads/2018/10/WEB-Nordicity-Full-Report.pdf" TargetMode="External"/><Relationship Id="rId29" Type="http://schemas.openxmlformats.org/officeDocument/2006/relationships/hyperlink" Target="https://libraryresearchnetwork.org/stratford-public-library-generates-14-91-million-in-total-economic-impac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ideshare.net/stephenabram1/wikwemiking-final-community-report-1" TargetMode="External"/><Relationship Id="rId11" Type="http://schemas.openxmlformats.org/officeDocument/2006/relationships/hyperlink" Target="http://home.olsn.ca/resources/valuing-northern-libraries-toolkit" TargetMode="External"/><Relationship Id="rId24" Type="http://schemas.openxmlformats.org/officeDocument/2006/relationships/hyperlink" Target="mailto:kim@brightsail.com" TargetMode="External"/><Relationship Id="rId32" Type="http://schemas.openxmlformats.org/officeDocument/2006/relationships/hyperlink" Target="https://libraryresearchnetwork.org/london-public-library-generates-yearly-economic-impact-of-102-million/" TargetMode="External"/><Relationship Id="rId37" Type="http://schemas.openxmlformats.org/officeDocument/2006/relationships/hyperlink" Target="https://libraryresearchnetwork.org/burlington-public-library-creates-over-57-million-in-total-economic-impact-to-the-city-of-burlington/" TargetMode="External"/><Relationship Id="rId40" Type="http://schemas.openxmlformats.org/officeDocument/2006/relationships/fontTable" Target="fontTable.xml"/><Relationship Id="rId5" Type="http://schemas.openxmlformats.org/officeDocument/2006/relationships/hyperlink" Target="http://fopl.ca/news/valuing-northern-libraries-toolkit/" TargetMode="External"/><Relationship Id="rId15" Type="http://schemas.openxmlformats.org/officeDocument/2006/relationships/hyperlink" Target="http://home.olsn.ca/images/Resources/EN/FINAL-Sample-SROI-Indicator-Template-Temiskaming-Shores_EN.pdf" TargetMode="External"/><Relationship Id="rId23" Type="http://schemas.openxmlformats.org/officeDocument/2006/relationships/hyperlink" Target="https://brightsail.com/" TargetMode="External"/><Relationship Id="rId28" Type="http://schemas.openxmlformats.org/officeDocument/2006/relationships/hyperlink" Target="https://libraryresearchnetwork.org/pickering-public-library-creates-over-32-million-in-total-economic-impact/" TargetMode="External"/><Relationship Id="rId36" Type="http://schemas.openxmlformats.org/officeDocument/2006/relationships/hyperlink" Target="https://libraryresearchnetwork.org/edmonton-public-librarys-economic-impact-is-187-million-annually/" TargetMode="External"/><Relationship Id="rId10" Type="http://schemas.openxmlformats.org/officeDocument/2006/relationships/hyperlink" Target="https://www.slideshare.net/stephenabram1/temiskaming-shores-final-community-report-125900632" TargetMode="External"/><Relationship Id="rId19" Type="http://schemas.openxmlformats.org/officeDocument/2006/relationships/hyperlink" Target="http://fopl.ca/news/pleased-to-share-with-you-the-results-of-a-two-year-study-to-assess-the-impact-of-technology-services-offered-in-ontario-libraries/" TargetMode="External"/><Relationship Id="rId31" Type="http://schemas.openxmlformats.org/officeDocument/2006/relationships/hyperlink" Target="https://libraryresearchnetwork.org/kawartha-lakes-demonstrates-the-value-of-local-libraries/" TargetMode="External"/><Relationship Id="rId4" Type="http://schemas.openxmlformats.org/officeDocument/2006/relationships/webSettings" Target="webSettings.xml"/><Relationship Id="rId9" Type="http://schemas.openxmlformats.org/officeDocument/2006/relationships/hyperlink" Target="https://www.slideshare.net/stephenabram1/powassan-final-community-report-1" TargetMode="External"/><Relationship Id="rId14" Type="http://schemas.openxmlformats.org/officeDocument/2006/relationships/hyperlink" Target="http://home.olsn.ca/images/Resources/FINAL-Sample-Community-Report-Temiskaming-Shores.pdf" TargetMode="External"/><Relationship Id="rId22" Type="http://schemas.openxmlformats.org/officeDocument/2006/relationships/hyperlink" Target="https://biblioottawalibrary.ca/en/impact" TargetMode="External"/><Relationship Id="rId27" Type="http://schemas.openxmlformats.org/officeDocument/2006/relationships/hyperlink" Target="https://libraryresearchnetwork.org/milton-public-library-creates-nearly-30-million-in-total-economic-impact/" TargetMode="External"/><Relationship Id="rId30" Type="http://schemas.openxmlformats.org/officeDocument/2006/relationships/hyperlink" Target="https://libraryresearchnetwork.org/sault-ste-marie-public-library-generates-more-than-6-million-in-economic-benefits/" TargetMode="External"/><Relationship Id="rId35" Type="http://schemas.openxmlformats.org/officeDocument/2006/relationships/hyperlink" Target="https://libraryresearchnetwork.org/newmarket-public-library-creates-over-20-million-in-total-economic-impact-for-the-town-of-new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7</cp:revision>
  <cp:lastPrinted>2019-01-04T17:09:00Z</cp:lastPrinted>
  <dcterms:created xsi:type="dcterms:W3CDTF">2019-01-04T17:09:00Z</dcterms:created>
  <dcterms:modified xsi:type="dcterms:W3CDTF">2019-01-23T18:32:00Z</dcterms:modified>
</cp:coreProperties>
</file>